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szCs w:val="32"/>
        </w:rPr>
      </w:pPr>
      <w:bookmarkStart w:id="0" w:name="_GoBack"/>
      <w:bookmarkEnd w:id="0"/>
      <w:r>
        <w:rPr>
          <w:rFonts w:hint="default" w:ascii="Times New Roman" w:hAnsi="Times New Roman" w:eastAsia="黑体" w:cs="Times New Roman"/>
          <w:szCs w:val="32"/>
        </w:rPr>
        <w:t>附件</w:t>
      </w:r>
    </w:p>
    <w:p>
      <w:pPr>
        <w:spacing w:line="560" w:lineRule="exact"/>
        <w:jc w:val="center"/>
        <w:rPr>
          <w:rFonts w:hint="default" w:ascii="Times New Roman" w:hAnsi="Times New Roman" w:eastAsia="方正小标宋简体" w:cs="Times New Roman"/>
          <w:szCs w:val="32"/>
        </w:rPr>
      </w:pPr>
      <w:r>
        <w:rPr>
          <w:rFonts w:hint="default" w:ascii="Times New Roman" w:hAnsi="Times New Roman" w:eastAsia="方正小标宋简体" w:cs="Times New Roman"/>
          <w:sz w:val="44"/>
          <w:szCs w:val="44"/>
        </w:rPr>
        <w:t>遥观镇2020年打好污染防治攻坚战目标任务分解表</w:t>
      </w:r>
    </w:p>
    <w:p>
      <w:pPr>
        <w:tabs>
          <w:tab w:val="left" w:pos="13440"/>
        </w:tabs>
        <w:spacing w:line="240" w:lineRule="exact"/>
        <w:rPr>
          <w:rFonts w:hint="default" w:ascii="Times New Roman" w:hAnsi="Times New Roman" w:eastAsia="黑体" w:cs="Times New Roman"/>
        </w:rPr>
      </w:pPr>
    </w:p>
    <w:tbl>
      <w:tblPr>
        <w:tblStyle w:val="5"/>
        <w:tblW w:w="152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1"/>
        <w:gridCol w:w="1827"/>
        <w:gridCol w:w="6899"/>
        <w:gridCol w:w="2006"/>
        <w:gridCol w:w="1417"/>
        <w:gridCol w:w="12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14"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1061"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项目类别</w:t>
            </w:r>
          </w:p>
        </w:tc>
        <w:tc>
          <w:tcPr>
            <w:tcW w:w="1827"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项目名称</w:t>
            </w:r>
          </w:p>
        </w:tc>
        <w:tc>
          <w:tcPr>
            <w:tcW w:w="6899"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2020年度目标任务</w:t>
            </w:r>
          </w:p>
        </w:tc>
        <w:tc>
          <w:tcPr>
            <w:tcW w:w="2006"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牵头单位</w:t>
            </w:r>
          </w:p>
        </w:tc>
        <w:tc>
          <w:tcPr>
            <w:tcW w:w="1417"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责任单位</w:t>
            </w:r>
          </w:p>
        </w:tc>
        <w:tc>
          <w:tcPr>
            <w:tcW w:w="1277" w:type="dxa"/>
            <w:vAlign w:val="center"/>
          </w:tcPr>
          <w:p>
            <w:pPr>
              <w:tabs>
                <w:tab w:val="left" w:pos="13440"/>
              </w:tabs>
              <w:spacing w:line="2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01" w:type="dxa"/>
            <w:gridSpan w:val="7"/>
            <w:vAlign w:val="center"/>
          </w:tcPr>
          <w:p>
            <w:pPr>
              <w:tabs>
                <w:tab w:val="left" w:pos="13440"/>
              </w:tabs>
              <w:spacing w:line="280" w:lineRule="exact"/>
              <w:jc w:val="left"/>
              <w:rPr>
                <w:rFonts w:hint="default" w:ascii="Times New Roman" w:hAnsi="Times New Roman" w:eastAsia="黑体" w:cs="Times New Roman"/>
                <w:sz w:val="21"/>
                <w:szCs w:val="21"/>
              </w:rPr>
            </w:pPr>
            <w:r>
              <w:rPr>
                <w:rFonts w:hint="default" w:ascii="Times New Roman" w:hAnsi="Times New Roman" w:eastAsia="楷体_GB2312" w:cs="Times New Roman"/>
                <w:b/>
                <w:bCs/>
                <w:sz w:val="21"/>
                <w:szCs w:val="21"/>
              </w:rPr>
              <w:t>一、工作目标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888" w:type="dxa"/>
            <w:gridSpan w:val="2"/>
            <w:vMerge w:val="restart"/>
            <w:vAlign w:val="center"/>
          </w:tcPr>
          <w:p>
            <w:pPr>
              <w:spacing w:line="280" w:lineRule="exact"/>
              <w:ind w:left="-80" w:leftChars="-25" w:right="-80" w:rightChars="-25"/>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大气环境质量</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2020年，PM2.5年均浓度降到47微克/立方米，空气质量优良天数比例达到68.0%。（区级）</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888" w:type="dxa"/>
            <w:gridSpan w:val="2"/>
            <w:vMerge w:val="continue"/>
            <w:vAlign w:val="center"/>
          </w:tcPr>
          <w:p>
            <w:pPr>
              <w:spacing w:line="280" w:lineRule="exact"/>
              <w:ind w:left="-80" w:leftChars="-25" w:right="-80" w:rightChars="-25"/>
              <w:jc w:val="left"/>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全面排查整治扬尘污染源，有效提升区域扬尘网格化监管水平，开展降尘监测和考核，降尘量不得高于4.5吨/月·平方公里。（区级）</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2888" w:type="dxa"/>
            <w:gridSpan w:val="2"/>
            <w:vMerge w:val="continue"/>
            <w:vAlign w:val="center"/>
          </w:tcPr>
          <w:p>
            <w:pPr>
              <w:spacing w:line="280" w:lineRule="exact"/>
              <w:ind w:left="-80" w:leftChars="-25" w:right="-80" w:rightChars="-25"/>
              <w:jc w:val="left"/>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2020年重污染天数比2015年下降25%。（区级）</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2888" w:type="dxa"/>
            <w:gridSpan w:val="2"/>
            <w:vMerge w:val="restart"/>
            <w:vAlign w:val="center"/>
          </w:tcPr>
          <w:p>
            <w:pPr>
              <w:spacing w:line="280" w:lineRule="exact"/>
              <w:ind w:left="-80" w:leftChars="-25" w:right="-80" w:rightChars="-25"/>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水环境质量</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地表水国省考断面共2个，水质优Ⅲ比例达50%；水功能区达标率82%以上。（区级）</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888" w:type="dxa"/>
            <w:gridSpan w:val="2"/>
            <w:vMerge w:val="continue"/>
            <w:vAlign w:val="center"/>
          </w:tcPr>
          <w:p>
            <w:pPr>
              <w:spacing w:line="280" w:lineRule="exact"/>
              <w:ind w:left="-80" w:leftChars="-25" w:right="-80" w:rightChars="-25"/>
              <w:jc w:val="left"/>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2020年，单位GDP水耗比2015年下降23%，</w:t>
            </w:r>
            <w:r>
              <w:rPr>
                <w:rFonts w:hint="default" w:ascii="Times New Roman" w:hAnsi="Times New Roman" w:eastAsia="仿宋_GB2312" w:cs="Times New Roman"/>
                <w:sz w:val="21"/>
                <w:szCs w:val="21"/>
              </w:rPr>
              <w:t>用水总量控制在市下达的目标任务内</w:t>
            </w:r>
            <w:r>
              <w:rPr>
                <w:rFonts w:hint="default" w:ascii="Times New Roman" w:hAnsi="Times New Roman" w:eastAsia="仿宋_GB2312" w:cs="Times New Roman"/>
                <w:sz w:val="21"/>
              </w:rPr>
              <w:t>。（区级）</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2888" w:type="dxa"/>
            <w:gridSpan w:val="2"/>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2020年，化学需氧量、氨氮、总磷、总氮排放总量较2015年分别削减22.07%、25.84%、27.45%、25.56%，二氧化硫、氮氧化物、VOCS排放量较2015年分别削减25.4%、22.0 %、28.0%以上。（区级）</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5201" w:type="dxa"/>
            <w:gridSpan w:val="7"/>
            <w:vAlign w:val="center"/>
          </w:tcPr>
          <w:p>
            <w:pPr>
              <w:tabs>
                <w:tab w:val="left" w:pos="13440"/>
              </w:tabs>
              <w:spacing w:line="280" w:lineRule="exact"/>
              <w:jc w:val="left"/>
              <w:rPr>
                <w:rFonts w:hint="default" w:ascii="Times New Roman" w:hAnsi="Times New Roman" w:eastAsia="楷体_GB2312" w:cs="Times New Roman"/>
                <w:b/>
                <w:bCs/>
                <w:sz w:val="21"/>
                <w:szCs w:val="21"/>
              </w:rPr>
            </w:pPr>
            <w:r>
              <w:rPr>
                <w:rFonts w:hint="default" w:ascii="Times New Roman" w:hAnsi="Times New Roman" w:eastAsia="楷体_GB2312" w:cs="Times New Roman"/>
                <w:b/>
                <w:bCs/>
                <w:sz w:val="21"/>
                <w:szCs w:val="21"/>
              </w:rPr>
              <w:t>二、主要任务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5201" w:type="dxa"/>
            <w:gridSpan w:val="7"/>
            <w:vAlign w:val="center"/>
          </w:tcPr>
          <w:p>
            <w:pPr>
              <w:tabs>
                <w:tab w:val="left" w:pos="13440"/>
              </w:tabs>
              <w:spacing w:line="280" w:lineRule="exact"/>
              <w:jc w:val="left"/>
              <w:rPr>
                <w:rFonts w:hint="default" w:ascii="Times New Roman" w:hAnsi="Times New Roman" w:eastAsia="仿宋_GB2312" w:cs="Times New Roman"/>
                <w:b/>
                <w:bCs/>
                <w:sz w:val="21"/>
                <w:szCs w:val="21"/>
              </w:rPr>
            </w:pPr>
            <w:r>
              <w:rPr>
                <w:rFonts w:hint="default" w:ascii="Times New Roman" w:hAnsi="Times New Roman" w:eastAsia="楷体_GB2312" w:cs="Times New Roman"/>
                <w:b/>
                <w:bCs/>
                <w:sz w:val="21"/>
                <w:szCs w:val="21"/>
              </w:rPr>
              <w:t>（一）坚决打赢蓝天保卫战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061" w:type="dxa"/>
            <w:vMerge w:val="restart"/>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打好柴油货车污染治理攻坚战</w:t>
            </w:r>
          </w:p>
        </w:tc>
        <w:tc>
          <w:tcPr>
            <w:tcW w:w="1827" w:type="dxa"/>
            <w:vMerge w:val="restart"/>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开展清洁柴油车行动</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配合上级在主要物流货运通道和城市主要入口设置柴油货车排放检测站（点），配合市级部门开展尾气监测；完成重点企业运输车辆车牌识别和视频监控系统安装。</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配合上级完成重型柴油车远程在线监控平台建设，具备条件的重型柴油车安装远程在线监控并与生态环境部门联网。</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开展清洁柴油机行动</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2020年1月1日起，实施非道路移动机械及柴油机第四阶段排放标准。配合上级6月底前配合完成非道路移动机械摸底调查和编码登记，持续开展申报登记和标识管理。</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restart"/>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开展清洁油品行动</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加强油品质量监督抽检，加油站汽柴油抽检覆盖率达到30%；储油库（包括企业、物流公司自备油库）抽检覆盖率达到100%。</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对加油站点的车用尿素进行质量监督抽检，抽检覆盖率达到30%。</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市场监督管理分局</w:t>
            </w:r>
          </w:p>
        </w:tc>
        <w:tc>
          <w:tcPr>
            <w:tcW w:w="1417" w:type="dxa"/>
            <w:vAlign w:val="center"/>
          </w:tcPr>
          <w:p>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restart"/>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开展清洁运输行动</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协同推进内河水运航道网络建设和提升，推动港口码头设施技术改造，车辆、船舶全面实施密闭运输。</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农路办</w:t>
            </w:r>
          </w:p>
        </w:tc>
        <w:tc>
          <w:tcPr>
            <w:tcW w:w="1417" w:type="dxa"/>
            <w:vAlign w:val="center"/>
          </w:tcPr>
          <w:p>
            <w:pPr>
              <w:tabs>
                <w:tab w:val="left" w:pos="13440"/>
              </w:tabs>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vAlign w:val="center"/>
          </w:tcPr>
          <w:p>
            <w:pPr>
              <w:spacing w:line="280" w:lineRule="exact"/>
              <w:jc w:val="center"/>
              <w:rPr>
                <w:rFonts w:hint="default" w:ascii="Times New Roman" w:hAnsi="Times New Roman" w:eastAsia="仿宋_GB2312" w:cs="Times New Roman"/>
                <w:sz w:val="21"/>
                <w:szCs w:val="21"/>
              </w:rPr>
            </w:pP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城市建成区新增和更新的公交、环卫、邮政、出租、通勤、轻型物流配送车辆使用新能源或清洁能源汽车，2020年底前使用比例达到80%。</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vAlign w:val="center"/>
          </w:tcPr>
          <w:p>
            <w:pPr>
              <w:tabs>
                <w:tab w:val="left" w:pos="13440"/>
              </w:tabs>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061" w:type="dxa"/>
            <w:vMerge w:val="restart"/>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深度治理工业大气污染</w:t>
            </w:r>
          </w:p>
        </w:tc>
        <w:tc>
          <w:tcPr>
            <w:tcW w:w="1827" w:type="dxa"/>
            <w:vMerge w:val="restart"/>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加强重点行业治理改造</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2020年底前，完成加热炉、熔化炉、烘干炉、煤气发生炉清洁能源替代，全面实施特别排放限值。</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14" w:type="dxa"/>
            <w:vAlign w:val="center"/>
          </w:tcPr>
          <w:p>
            <w:pPr>
              <w:tabs>
                <w:tab w:val="left" w:pos="13440"/>
              </w:tabs>
              <w:spacing w:line="280" w:lineRule="exact"/>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6899" w:type="dxa"/>
            <w:vAlign w:val="center"/>
          </w:tcPr>
          <w:p>
            <w:pPr>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年底前完成铸造行业专项整治。</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锅炉提标改造</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完成常州华通新立地板有限公司生物质锅炉废气治理。</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生物质锅炉综合整治</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 年底前完成生物质锅炉综合整治，对全镇5台已建及在建锅炉进行摸底调查，保留的全部采用生物质专用锅炉，并配套高效除尘设施。4吨/时及以上的安装烟气在线监测设备并与生态环境部门联网；建成区内生物质锅炉实施超低排放改造或淘汰。</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天然气锅炉低氮改造</w:t>
            </w:r>
          </w:p>
        </w:tc>
        <w:tc>
          <w:tcPr>
            <w:tcW w:w="6899" w:type="dxa"/>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对全镇28 台已建及在建天然气锅炉进行摸底调查，2020 年底前全面完成天然气锅炉低氮改造或更新，氮氧化物排放浓度不高于 50mg/m</w:t>
            </w:r>
            <w:r>
              <w:rPr>
                <w:rFonts w:hint="default" w:ascii="Times New Roman" w:hAnsi="Times New Roman" w:eastAsia="仿宋_GB2312" w:cs="Times New Roman"/>
                <w:sz w:val="21"/>
                <w:vertAlign w:val="superscript"/>
              </w:rPr>
              <w:t>3</w:t>
            </w:r>
            <w:r>
              <w:rPr>
                <w:rFonts w:hint="default" w:ascii="Times New Roman" w:hAnsi="Times New Roman" w:eastAsia="仿宋_GB2312" w:cs="Times New Roman"/>
                <w:sz w:val="21"/>
              </w:rPr>
              <w:t>，站点周边3公里内的重点企业安装烟气在线监测设备并与生态环境部门联网。</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061" w:type="dxa"/>
            <w:vMerge w:val="continue"/>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加强散煤治理</w:t>
            </w:r>
          </w:p>
        </w:tc>
        <w:tc>
          <w:tcPr>
            <w:tcW w:w="6899" w:type="dxa"/>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禁燃区内禁止销售、使用高污染燃料。严格落实《商品煤质量管理暂行办法》，打击销售使用灰分大于15%、硫分大于0.7%的劣质煤。</w:t>
            </w:r>
          </w:p>
        </w:tc>
        <w:tc>
          <w:tcPr>
            <w:tcW w:w="2006"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市场监督管理分局</w:t>
            </w:r>
          </w:p>
        </w:tc>
        <w:tc>
          <w:tcPr>
            <w:tcW w:w="1417" w:type="dxa"/>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“散乱污”整治</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加强长效管理，巩固“散乱污”企业综合整治成果，推动传统产业集群升级改造。</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生活垃圾焚烧达标治理</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完成光大环保废气治理提标改造。</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严格管控各类扬尘</w:t>
            </w:r>
          </w:p>
        </w:tc>
        <w:tc>
          <w:tcPr>
            <w:tcW w:w="1827" w:type="dxa"/>
            <w:shd w:val="clear" w:color="auto" w:fill="auto"/>
            <w:vAlign w:val="center"/>
          </w:tcPr>
          <w:p>
            <w:pPr>
              <w:tabs>
                <w:tab w:val="left" w:pos="13440"/>
              </w:tabs>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严格工地扬尘监管</w:t>
            </w:r>
          </w:p>
        </w:tc>
        <w:tc>
          <w:tcPr>
            <w:tcW w:w="6899" w:type="dxa"/>
            <w:shd w:val="clear" w:color="auto" w:fill="auto"/>
            <w:vAlign w:val="center"/>
          </w:tcPr>
          <w:p>
            <w:pPr>
              <w:tabs>
                <w:tab w:val="left" w:pos="13440"/>
              </w:tabs>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施工面积5000平米以上建筑工地安装在线监测和视频监控设备，并与主管部门联网。</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加强道路扬尘综合整治</w:t>
            </w:r>
          </w:p>
        </w:tc>
        <w:tc>
          <w:tcPr>
            <w:tcW w:w="6899" w:type="dxa"/>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大力推进道路清扫保洁机械化作业，年底前，建成区道路机械化清扫率达到93%以上。</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综合执法局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w:t>
            </w:r>
          </w:p>
        </w:tc>
        <w:tc>
          <w:tcPr>
            <w:tcW w:w="1061" w:type="dxa"/>
            <w:vMerge w:val="restart"/>
            <w:shd w:val="clear" w:color="auto" w:fill="auto"/>
            <w:vAlign w:val="center"/>
          </w:tcPr>
          <w:p>
            <w:pPr>
              <w:tabs>
                <w:tab w:val="left" w:pos="13440"/>
              </w:tabs>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深化VOCs专项治理</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重点企业VOCs治理</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组织江苏万隆特种货柜有限公司编制实施“一企一策”方案。</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VOCs在线监控能力建设</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年排放量10吨以上的和站点周边3公里内的重点企业完成非甲烷总烃在线监控设施安装、验收与联网，中小型企业加快推进用电量等工况监控设施安装，提升VOCs排放监控能力。</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油品储运销行业VOCs治理</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2020年底前，完成年销售汽油量大于5000吨的加油站油气回收自动监控设备安装。</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rPr>
            </w:pPr>
          </w:p>
        </w:tc>
        <w:tc>
          <w:tcPr>
            <w:tcW w:w="1827" w:type="dxa"/>
            <w:vMerge w:val="restart"/>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表面涂装行业VOCs专项整治</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继续推广使用低VOCs的油漆、涂料。</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rPr>
            </w:pPr>
          </w:p>
        </w:tc>
        <w:tc>
          <w:tcPr>
            <w:tcW w:w="1827" w:type="dxa"/>
            <w:vMerge w:val="continue"/>
            <w:shd w:val="clear" w:color="auto" w:fill="auto"/>
            <w:vAlign w:val="center"/>
          </w:tcPr>
          <w:p>
            <w:pPr>
              <w:widowControl/>
              <w:spacing w:line="280" w:lineRule="exact"/>
              <w:jc w:val="center"/>
              <w:rPr>
                <w:rFonts w:hint="default" w:ascii="Times New Roman" w:hAnsi="Times New Roman" w:eastAsia="仿宋_GB2312" w:cs="Times New Roman"/>
                <w:sz w:val="21"/>
              </w:rPr>
            </w:pP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重点对金属、塑料表面涂装过程中产生的VOCs进行整治。</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无组织排放管理</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完成4家铸造企业专项整治提升。</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加强秸秆禁烧和综合利用</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秸秆禁烧管控</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建立健全网格化监管制度，在夏收和秋收阶段开展秸秆禁烧专项巡查，严格制止秸秆焚烧和抛河行为。</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秸秆综合利用</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坚持堵疏结合，完善秸秆收储体系，推广秸秆就地就近实现资源转化的小型化、移动式装备。2020年，秸秆综合利用率达到96%。</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农技农机站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加强面源污染控制</w:t>
            </w:r>
          </w:p>
        </w:tc>
        <w:tc>
          <w:tcPr>
            <w:tcW w:w="1827" w:type="dxa"/>
            <w:vMerge w:val="restart"/>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加强餐饮油烟污染防治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重点餐饮企业全部安装用电监控设施。</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shd w:val="clear" w:color="auto" w:fill="auto"/>
            <w:vAlign w:val="center"/>
          </w:tcPr>
          <w:p>
            <w:pPr>
              <w:widowControl/>
              <w:spacing w:line="280" w:lineRule="exact"/>
              <w:jc w:val="center"/>
              <w:rPr>
                <w:rFonts w:hint="default" w:ascii="Times New Roman" w:hAnsi="Times New Roman" w:eastAsia="仿宋_GB2312" w:cs="Times New Roman"/>
                <w:sz w:val="21"/>
              </w:rPr>
            </w:pP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禁止露天焚烧和露天烧烤。</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综合执法局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加强烟花爆竹污染防治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切实落实烟花爆竹禁放措施，有效防止空气污染。</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派出所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2888" w:type="dxa"/>
            <w:gridSpan w:val="2"/>
            <w:shd w:val="clear" w:color="auto" w:fill="auto"/>
            <w:vAlign w:val="center"/>
          </w:tcPr>
          <w:p>
            <w:pPr>
              <w:spacing w:line="280" w:lineRule="exact"/>
              <w:ind w:left="-80" w:leftChars="-25" w:right="-80" w:rightChars="-25"/>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加强重污染天气防范应对</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强重污染天气预警，实现“省级预警，市县响应”，科学实施污染“削峰”管理。及时制订并实施臭氧和秋冬季大气污染综合治理攻坚行动方案，定期更新工业企业、工地应急管控清单，并向社会公开。重大活动期间，协同强化联防联控措施。建立健全“点位长”制和“网格长”制。开展大气专项执法检查，坚决打击各类涉气环境违法行为。</w:t>
            </w:r>
          </w:p>
        </w:tc>
        <w:tc>
          <w:tcPr>
            <w:tcW w:w="2006" w:type="dxa"/>
            <w:shd w:val="clear" w:color="auto" w:fill="auto"/>
            <w:vAlign w:val="center"/>
          </w:tcPr>
          <w:p>
            <w:pPr>
              <w:widowControl/>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p>
            <w:pPr>
              <w:widowControl/>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p>
            <w:pPr>
              <w:widowControl/>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综合执法局</w:t>
            </w: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（二）着力打好碧水保卫战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打好污水处理提质增效攻坚战</w:t>
            </w: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巩固黑臭水体整治成效</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继续做好已完成整治城乡黑臭水体的效果评估及销号工作，对不符合要求的，实施提升整治。积极实施水系连通工程，打通断头浜。持续开展河道轮浚。建立健全长效管理机制，落实畅流活水、长效保洁责任，实现长制久清。</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p>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开展污水管网检测修复</w:t>
            </w:r>
          </w:p>
        </w:tc>
        <w:tc>
          <w:tcPr>
            <w:tcW w:w="6899" w:type="dxa"/>
            <w:shd w:val="clear" w:color="auto" w:fill="auto"/>
            <w:vAlign w:val="center"/>
          </w:tcPr>
          <w:p>
            <w:pPr>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面排查检测雨污水管网功能性和结构性状况，查清错接、混接和渗漏等问题，有计划分片区组织实施管网改造与修复。以潢河、宛沿河、省庄浜、谈家圩等河道沿线1公里为重点片区，4月底前完成雨、污管网的摸底调查，绘制管线图，8月底前完成修复。</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加快消除污水直排口和污水管网空白区</w:t>
            </w:r>
          </w:p>
        </w:tc>
        <w:tc>
          <w:tcPr>
            <w:tcW w:w="6899" w:type="dxa"/>
            <w:shd w:val="clear" w:color="auto" w:fill="auto"/>
            <w:vAlign w:val="center"/>
          </w:tcPr>
          <w:p>
            <w:pPr>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科学实施污水直排口消除工程，重点解决旱天污水直排，有效管控雨天合流制溢流污染。汛期前妥善解决省庄浜、东风河等重点河道沿线管网污水溢流问题。</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开展“小散乱”排水整治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全面开展农贸市场、小餐饮、夜排档、理发店、洗浴、洗车场、洗衣店、小诊所、建设工地等“小散乱”排水户的问题排查，上半年制定整治计划，年内完成先行示范区整治（全区合计10 平方公里以上）。</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tcPr>
          <w:p>
            <w:pPr>
              <w:tabs>
                <w:tab w:val="left" w:pos="13440"/>
              </w:tabs>
              <w:spacing w:line="280" w:lineRule="exact"/>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开展居民小区和单位庭院排水整治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全面排查居民小区、公共建筑和单位庭院内部雨污水管网和检查井错混接、总排口接管等情况，列出问题清单，明确任务清单，推进实施管网修复改造和建设。</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tcPr>
          <w:p>
            <w:pPr>
              <w:tabs>
                <w:tab w:val="left" w:pos="13440"/>
              </w:tabs>
              <w:spacing w:line="280" w:lineRule="exact"/>
              <w:jc w:val="center"/>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41</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提升城镇污水处理综合能力</w:t>
            </w:r>
          </w:p>
        </w:tc>
        <w:tc>
          <w:tcPr>
            <w:tcW w:w="6899" w:type="dxa"/>
            <w:shd w:val="clear" w:color="auto" w:fill="auto"/>
            <w:vAlign w:val="center"/>
          </w:tcPr>
          <w:p>
            <w:pPr>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规范处理污泥，建立污泥转运和处理处置全过程可追溯的监管体系。</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42</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restart"/>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提升工业废水处理能力</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开展工业园区（集聚区）和工业企业内部管网的雨污分流改造。整治达标后的企业或小型工业园区，绘制雨污水管网布局走向图，明确总排口接管位置，并在主要出入口上墙公示，接受社会公众监督。</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43</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shd w:val="clear" w:color="auto" w:fill="auto"/>
            <w:vAlign w:val="center"/>
          </w:tcPr>
          <w:p>
            <w:pPr>
              <w:widowControl/>
              <w:spacing w:line="280" w:lineRule="exact"/>
              <w:jc w:val="center"/>
              <w:rPr>
                <w:rFonts w:hint="default" w:ascii="Times New Roman" w:hAnsi="Times New Roman" w:eastAsia="仿宋_GB2312" w:cs="Times New Roman"/>
                <w:sz w:val="21"/>
              </w:rPr>
            </w:pP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12月底前建成投运钢管酸洗废水集中处置项目1个。</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44</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夯实“河长制”责任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进一步完善长效管理机制，开展小微水体河长制工作，加强“河长制”工作监测评估。</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45</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打好长江保护修复攻坚战</w:t>
            </w:r>
          </w:p>
        </w:tc>
        <w:tc>
          <w:tcPr>
            <w:tcW w:w="1827" w:type="dxa"/>
            <w:shd w:val="clear" w:color="auto" w:fill="auto"/>
            <w:vAlign w:val="center"/>
          </w:tcPr>
          <w:p>
            <w:pPr>
              <w:widowControl/>
              <w:shd w:val="clear" w:color="auto" w:fill="FFFFFF"/>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综合整治排污口</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统一部署，及时配合完成京杭运河入河排污口排查、监测、溯源，形成“一口一档”、“一口一策”；全面排查入京杭运河等区域泵闸站，针对存在问题的，按照“一点一策”要求于2020年4月底前制定专项整治方案，及时整治到位。</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46</w:t>
            </w:r>
          </w:p>
        </w:tc>
        <w:tc>
          <w:tcPr>
            <w:tcW w:w="1061" w:type="dxa"/>
            <w:vMerge w:val="continue"/>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加强船舶污染防治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2020年底前，配合完成所有港口码头、船舶修造厂、船闸锚地建成污染物接收设施，并与城市公共转运、处置设施有效衔接；加快流动机械、运输车辆和港口内拖车“油改电”、“油改气”进程。</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农路办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47</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 w:val="21"/>
              </w:rPr>
              <w:t>防范环境风险</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三山港等水质波动频繁区域泵闸站安装在线监测和视频监控设备并联网。</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48</w:t>
            </w:r>
          </w:p>
        </w:tc>
        <w:tc>
          <w:tcPr>
            <w:tcW w:w="1061" w:type="dxa"/>
            <w:vMerge w:val="restart"/>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打好太湖治理攻坚战</w:t>
            </w:r>
          </w:p>
        </w:tc>
        <w:tc>
          <w:tcPr>
            <w:tcW w:w="1827" w:type="dxa"/>
            <w:vMerge w:val="restart"/>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实施重点治太工程项目</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经开区污水管网建设工程：新建污水管网。（和横林镇合计20km以上）</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治太任务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49</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vMerge w:val="continue"/>
            <w:shd w:val="clear" w:color="auto" w:fill="auto"/>
            <w:vAlign w:val="center"/>
          </w:tcPr>
          <w:p>
            <w:pPr>
              <w:widowControl/>
              <w:spacing w:line="280" w:lineRule="exact"/>
              <w:jc w:val="center"/>
              <w:rPr>
                <w:rFonts w:hint="default" w:ascii="Times New Roman" w:hAnsi="Times New Roman" w:eastAsia="仿宋_GB2312" w:cs="Times New Roman"/>
                <w:szCs w:val="32"/>
              </w:rPr>
            </w:pP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宋剑湖湿地生态修复项目：项目对周边地区绿化，道路两侧、湖滨岸带、近岸水域以及其他相关配套进一步改造提升。绿化改造提升总面积913亩，其中陆域绿化空间植被465亩、滨水植被448亩。同时融入党建、廉政、文化等元素。</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治太任务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 w:val="21"/>
              </w:rPr>
              <w:t>强化重点断面专项综合整治</w:t>
            </w:r>
          </w:p>
        </w:tc>
        <w:tc>
          <w:tcPr>
            <w:tcW w:w="6899" w:type="dxa"/>
            <w:shd w:val="clear" w:color="auto" w:fill="auto"/>
            <w:vAlign w:val="center"/>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4月中旬前制定“一点一策”，制定国省考断面的整治提升方案，确保水环境质量“只能变好，不能变差”。</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51</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涉磷污染调查整治</w:t>
            </w:r>
          </w:p>
        </w:tc>
        <w:tc>
          <w:tcPr>
            <w:tcW w:w="6899" w:type="dxa"/>
            <w:shd w:val="clear" w:color="auto" w:fill="auto"/>
            <w:vAlign w:val="bottom"/>
          </w:tcPr>
          <w:p>
            <w:pPr>
              <w:widowControl/>
              <w:spacing w:line="28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4月上旬完成太湖上游重点地区涉磷污染状况调查，并制订针对性整治方案，10月底前完成钢地板、金属表面处理、线路板等涉磷重点行业专项整治。</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52</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打好农业农村污染治理攻坚战</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加强村庄生活污水治理</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现行政村生活污水处理设施全覆盖，规划发展村庄生活污水处理设施覆盖率达90%以上，已建村庄生活污水处理设施运行率达90%以上，加强设施运维管理，建立抽查考核机制，防止出现建而不用、集中排污等问题。</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生态和农村工作局（农技农机站）</w:t>
            </w:r>
          </w:p>
        </w:tc>
        <w:tc>
          <w:tcPr>
            <w:tcW w:w="141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53</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全面治理农村厕所粪污</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基本完成农村户厕无害化建设改造，农村无害化卫生户厕普及率达到100%。</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社会事业局</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54</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科学防治农业面源污染</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进一步推广测土配方施肥技术，推行农药、化肥减施，化肥使用量较2015年减少5%，农药使用量零增长。建立废旧农膜和农药包装物等废弃物回收利用机制，废旧农膜回收率达到80%，农药包装废弃物回收率达到35%。</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生态和农村工作局（农技农机站）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55</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推进水产健康养殖</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实施养殖水域滩涂规划，依法有序推进禁养区水产养殖退出，2020年底前禁养区内养殖行为全部退出。制定出台池塘生态化改造实施方案，推广生态健康养殖技术模式，水产健康养殖比例达65%。</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生态和农村工作局（农技农机站）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56</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推进畜禽粪污资源化利用</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推进畜禽粪污资源化利用，畜禽粪污综合利用率达到90%，规模化养殖场粪污处理设施装备配套率达到100%，畜禽规模养殖场治理率达90%。</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兽医站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57</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农村黑臭水体排查整治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 年 5 月底前，完成农村黑臭水体排查，并开展整治试点工作。</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（三）扎实推进净土保卫战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58</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打好固体废物污染防治攻坚战</w:t>
            </w: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生活垃圾分类设施</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2020 年垃圾分类设施建设全区覆盖，具体任务如下：垃圾分类设施全覆盖：行政村 7个，垃圾分类集中处理率达到 90%；农村生活垃圾无害化处理率达到100%。</w:t>
            </w:r>
          </w:p>
        </w:tc>
        <w:tc>
          <w:tcPr>
            <w:tcW w:w="2006"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综合执法局</w:t>
            </w:r>
          </w:p>
        </w:tc>
        <w:tc>
          <w:tcPr>
            <w:tcW w:w="141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59</w:t>
            </w:r>
          </w:p>
        </w:tc>
        <w:tc>
          <w:tcPr>
            <w:tcW w:w="1061" w:type="dxa"/>
            <w:vMerge w:val="continue"/>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p>
        </w:tc>
        <w:tc>
          <w:tcPr>
            <w:tcW w:w="182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易腐垃圾处理</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建设一座农贸市场有机易腐垃圾处理设施。</w:t>
            </w:r>
          </w:p>
        </w:tc>
        <w:tc>
          <w:tcPr>
            <w:tcW w:w="2006"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综合执法局</w:t>
            </w:r>
          </w:p>
        </w:tc>
        <w:tc>
          <w:tcPr>
            <w:tcW w:w="141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spacing w:line="280" w:lineRule="exact"/>
              <w:ind w:left="-80" w:leftChars="-25" w:right="-80" w:rightChars="-2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60</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推进土壤污染防治</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持续深化土壤环境管理</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5月底前配合全面完成新增调查对象基础信息采集及系统提交；完成重点行业企业用地土壤污染状况调查，6月底前配合完成初步采样地块的现场采样、分析测试、数据上传等工作。</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61</w:t>
            </w:r>
          </w:p>
        </w:tc>
        <w:tc>
          <w:tcPr>
            <w:tcW w:w="1061" w:type="dxa"/>
            <w:vMerge w:val="continue"/>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持续深化土壤环境管理</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全面完成重点监管企业环境风险隐患排查和厂区土壤、地下水自行监测，并将监测数据报生态环境部门。</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62</w:t>
            </w:r>
          </w:p>
        </w:tc>
        <w:tc>
          <w:tcPr>
            <w:tcW w:w="1061" w:type="dxa"/>
            <w:vMerge w:val="continue"/>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开展土壤环境例行监测</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建设土壤环境信息化管理平台。全面完成重点监管企业环境风险隐患排查和厂区土壤、地下水自行监测，并将监测数据报生态环境部门；有序开展土壤污染风险管控和修复。</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63</w:t>
            </w:r>
          </w:p>
        </w:tc>
        <w:tc>
          <w:tcPr>
            <w:tcW w:w="2888" w:type="dxa"/>
            <w:gridSpan w:val="2"/>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加强重金属污染防治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到2020年，重点重金属污染物排放量比2013年下降百分比达到规定要求。</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（四）推动绿色发展转型升级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64</w:t>
            </w:r>
          </w:p>
        </w:tc>
        <w:tc>
          <w:tcPr>
            <w:tcW w:w="1061" w:type="dxa"/>
            <w:vMerge w:val="restart"/>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优化调整空间结构</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城市人口密集区危化品企业整治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扎实推进城市人口密集区内不符合安全卫生防护距离的危化品生产企业搬迁改造工作。</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w:t>
            </w:r>
          </w:p>
        </w:tc>
        <w:tc>
          <w:tcPr>
            <w:tcW w:w="1061" w:type="dxa"/>
            <w:vMerge w:val="continue"/>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严控环境风险项目布局</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继续推进实施城区范围内混凝土、化工、印染企业关闭、搬迁和改造计划，推进城区范围内重污染企业改造退出。</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66</w:t>
            </w:r>
          </w:p>
        </w:tc>
        <w:tc>
          <w:tcPr>
            <w:tcW w:w="1061" w:type="dxa"/>
            <w:vMerge w:val="restart"/>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2"/>
              </w:rPr>
              <w:t>优化调整产业结构</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化工整治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深入推进化工产业安全环保整治提升工作，关闭上级规定的化工企业。</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67</w:t>
            </w:r>
          </w:p>
        </w:tc>
        <w:tc>
          <w:tcPr>
            <w:tcW w:w="1061" w:type="dxa"/>
            <w:vMerge w:val="continue"/>
            <w:shd w:val="clear" w:color="auto" w:fill="auto"/>
            <w:vAlign w:val="center"/>
          </w:tcPr>
          <w:p>
            <w:pPr>
              <w:tabs>
                <w:tab w:val="left" w:pos="13440"/>
              </w:tabs>
              <w:spacing w:line="260" w:lineRule="exact"/>
              <w:jc w:val="left"/>
              <w:rPr>
                <w:rFonts w:hint="default" w:ascii="Times New Roman" w:hAnsi="Times New Roman" w:eastAsia="仿宋_GB2312" w:cs="Times New Roman"/>
                <w:sz w:val="21"/>
                <w:szCs w:val="21"/>
              </w:rPr>
            </w:pPr>
          </w:p>
        </w:tc>
        <w:tc>
          <w:tcPr>
            <w:tcW w:w="1827" w:type="dxa"/>
            <w:vMerge w:val="restart"/>
            <w:shd w:val="clear" w:color="auto" w:fill="auto"/>
            <w:vAlign w:val="center"/>
          </w:tcPr>
          <w:p>
            <w:pPr>
              <w:widowControl/>
              <w:spacing w:line="26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重点行业结构调整</w:t>
            </w:r>
          </w:p>
        </w:tc>
        <w:tc>
          <w:tcPr>
            <w:tcW w:w="6899" w:type="dxa"/>
            <w:vMerge w:val="restart"/>
            <w:shd w:val="clear" w:color="auto" w:fill="auto"/>
            <w:vAlign w:val="center"/>
          </w:tcPr>
          <w:p>
            <w:pPr>
              <w:spacing w:line="26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落实《常州市印染行业发展规划》，制定辖区内印染企业发展年度工作目标并组织实施。</w:t>
            </w:r>
          </w:p>
        </w:tc>
        <w:tc>
          <w:tcPr>
            <w:tcW w:w="2006" w:type="dxa"/>
            <w:vMerge w:val="restart"/>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vMerge w:val="restart"/>
            <w:shd w:val="clear" w:color="auto" w:fill="auto"/>
            <w:vAlign w:val="center"/>
          </w:tcPr>
          <w:p>
            <w:pPr>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vMerge w:val="restart"/>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68</w:t>
            </w:r>
          </w:p>
        </w:tc>
        <w:tc>
          <w:tcPr>
            <w:tcW w:w="1061" w:type="dxa"/>
            <w:vMerge w:val="continue"/>
            <w:shd w:val="clear" w:color="auto" w:fill="auto"/>
            <w:vAlign w:val="center"/>
          </w:tcPr>
          <w:p>
            <w:pPr>
              <w:tabs>
                <w:tab w:val="left" w:pos="13440"/>
              </w:tabs>
              <w:spacing w:line="260" w:lineRule="exact"/>
              <w:jc w:val="left"/>
              <w:rPr>
                <w:rFonts w:hint="default" w:ascii="Times New Roman" w:hAnsi="Times New Roman" w:eastAsia="仿宋_GB2312" w:cs="Times New Roman"/>
                <w:sz w:val="21"/>
                <w:szCs w:val="21"/>
              </w:rPr>
            </w:pPr>
          </w:p>
        </w:tc>
        <w:tc>
          <w:tcPr>
            <w:tcW w:w="1827" w:type="dxa"/>
            <w:vMerge w:val="continue"/>
            <w:shd w:val="clear" w:color="auto" w:fill="auto"/>
            <w:vAlign w:val="center"/>
          </w:tcPr>
          <w:p>
            <w:pPr>
              <w:widowControl/>
              <w:spacing w:line="260" w:lineRule="exact"/>
              <w:jc w:val="center"/>
              <w:rPr>
                <w:rFonts w:hint="default" w:ascii="Times New Roman" w:hAnsi="Times New Roman" w:eastAsia="仿宋_GB2312" w:cs="Times New Roman"/>
                <w:sz w:val="21"/>
              </w:rPr>
            </w:pPr>
          </w:p>
        </w:tc>
        <w:tc>
          <w:tcPr>
            <w:tcW w:w="6899" w:type="dxa"/>
            <w:vMerge w:val="continue"/>
            <w:shd w:val="clear" w:color="auto" w:fill="auto"/>
            <w:vAlign w:val="center"/>
          </w:tcPr>
          <w:p>
            <w:pPr>
              <w:widowControl/>
              <w:spacing w:line="260" w:lineRule="exact"/>
              <w:jc w:val="left"/>
              <w:rPr>
                <w:rFonts w:hint="default" w:ascii="Times New Roman" w:hAnsi="Times New Roman" w:eastAsia="仿宋_GB2312" w:cs="Times New Roman"/>
                <w:sz w:val="21"/>
              </w:rPr>
            </w:pPr>
          </w:p>
        </w:tc>
        <w:tc>
          <w:tcPr>
            <w:tcW w:w="2006" w:type="dxa"/>
            <w:vMerge w:val="continue"/>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p>
        </w:tc>
        <w:tc>
          <w:tcPr>
            <w:tcW w:w="1417" w:type="dxa"/>
            <w:vMerge w:val="continue"/>
            <w:shd w:val="clear" w:color="auto" w:fill="auto"/>
            <w:vAlign w:val="center"/>
          </w:tcPr>
          <w:p>
            <w:pPr>
              <w:spacing w:line="260" w:lineRule="exact"/>
              <w:jc w:val="center"/>
              <w:rPr>
                <w:rFonts w:hint="default" w:ascii="Times New Roman" w:hAnsi="Times New Roman" w:eastAsia="仿宋_GB2312" w:cs="Times New Roman"/>
                <w:sz w:val="21"/>
                <w:szCs w:val="21"/>
              </w:rPr>
            </w:pPr>
          </w:p>
        </w:tc>
        <w:tc>
          <w:tcPr>
            <w:tcW w:w="1277" w:type="dxa"/>
            <w:vMerge w:val="continue"/>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69</w:t>
            </w:r>
          </w:p>
        </w:tc>
        <w:tc>
          <w:tcPr>
            <w:tcW w:w="1061" w:type="dxa"/>
            <w:vMerge w:val="restart"/>
            <w:shd w:val="clear" w:color="auto" w:fill="auto"/>
            <w:vAlign w:val="center"/>
          </w:tcPr>
          <w:p>
            <w:pPr>
              <w:tabs>
                <w:tab w:val="left" w:pos="13440"/>
              </w:tabs>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2"/>
              </w:rPr>
              <w:t>优化调整能源资源结构</w:t>
            </w:r>
          </w:p>
        </w:tc>
        <w:tc>
          <w:tcPr>
            <w:tcW w:w="1827" w:type="dxa"/>
            <w:shd w:val="clear" w:color="auto" w:fill="auto"/>
            <w:vAlign w:val="center"/>
          </w:tcPr>
          <w:p>
            <w:pPr>
              <w:widowControl/>
              <w:spacing w:line="26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优化能源消费结构</w:t>
            </w:r>
          </w:p>
        </w:tc>
        <w:tc>
          <w:tcPr>
            <w:tcW w:w="6899" w:type="dxa"/>
            <w:shd w:val="clear" w:color="auto" w:fill="auto"/>
            <w:vAlign w:val="center"/>
          </w:tcPr>
          <w:p>
            <w:pPr>
              <w:widowControl/>
              <w:spacing w:line="260" w:lineRule="exact"/>
              <w:rPr>
                <w:rFonts w:hint="default" w:ascii="Times New Roman" w:hAnsi="Times New Roman" w:eastAsia="仿宋_GB2312" w:cs="Times New Roman"/>
                <w:sz w:val="21"/>
              </w:rPr>
            </w:pPr>
            <w:r>
              <w:rPr>
                <w:rFonts w:hint="default" w:ascii="Times New Roman" w:hAnsi="Times New Roman" w:eastAsia="仿宋_GB2312" w:cs="Times New Roman"/>
                <w:sz w:val="21"/>
              </w:rPr>
              <w:t>完成市下达减煤任务，严格控制能源消费和煤炭消费总量；推广LNG燃料、新能源车船的使用，充分发挥公共交通领域的示范作用；加快推进城区新能源充电站、快充站等配套基础设施的建设。</w:t>
            </w:r>
          </w:p>
        </w:tc>
        <w:tc>
          <w:tcPr>
            <w:tcW w:w="2006"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经济发展局</w:t>
            </w:r>
          </w:p>
        </w:tc>
        <w:tc>
          <w:tcPr>
            <w:tcW w:w="1417" w:type="dxa"/>
            <w:shd w:val="clear" w:color="auto" w:fill="auto"/>
            <w:vAlign w:val="center"/>
          </w:tcPr>
          <w:p>
            <w:pPr>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70</w:t>
            </w:r>
          </w:p>
        </w:tc>
        <w:tc>
          <w:tcPr>
            <w:tcW w:w="1061" w:type="dxa"/>
            <w:vMerge w:val="continue"/>
            <w:shd w:val="clear" w:color="auto" w:fill="auto"/>
            <w:vAlign w:val="center"/>
          </w:tcPr>
          <w:p>
            <w:pPr>
              <w:tabs>
                <w:tab w:val="left" w:pos="13440"/>
              </w:tabs>
              <w:spacing w:line="260" w:lineRule="exact"/>
              <w:jc w:val="center"/>
              <w:rPr>
                <w:rFonts w:hint="default" w:ascii="Times New Roman" w:hAnsi="Times New Roman" w:eastAsia="仿宋_GB2312" w:cs="Times New Roman"/>
                <w:szCs w:val="32"/>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推进资源全面节约</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szCs w:val="21"/>
              </w:rPr>
              <w:t>城镇新建建筑能效水平比 2015 年提升20%，城镇新建民用建筑100%按绿色建筑标准设计建造。</w:t>
            </w:r>
          </w:p>
        </w:tc>
        <w:tc>
          <w:tcPr>
            <w:tcW w:w="2006" w:type="dxa"/>
            <w:shd w:val="clear" w:color="auto" w:fill="auto"/>
            <w:vAlign w:val="center"/>
          </w:tcPr>
          <w:p>
            <w:pPr>
              <w:widowControl/>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tc>
        <w:tc>
          <w:tcPr>
            <w:tcW w:w="1417" w:type="dxa"/>
            <w:shd w:val="clear" w:color="auto" w:fill="auto"/>
            <w:vAlign w:val="center"/>
          </w:tcPr>
          <w:p>
            <w:pPr>
              <w:widowControl/>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widowControl/>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201" w:type="dxa"/>
            <w:gridSpan w:val="7"/>
            <w:shd w:val="clear" w:color="auto" w:fill="auto"/>
            <w:vAlign w:val="center"/>
          </w:tcPr>
          <w:p>
            <w:pPr>
              <w:tabs>
                <w:tab w:val="left" w:pos="13440"/>
              </w:tabs>
              <w:spacing w:line="26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（五）升级加快生态修复与保护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71</w:t>
            </w:r>
          </w:p>
        </w:tc>
        <w:tc>
          <w:tcPr>
            <w:tcW w:w="1061" w:type="dxa"/>
            <w:shd w:val="clear" w:color="auto" w:fill="auto"/>
            <w:vAlign w:val="center"/>
          </w:tcPr>
          <w:p>
            <w:pPr>
              <w:tabs>
                <w:tab w:val="left" w:pos="13440"/>
              </w:tabs>
              <w:spacing w:line="26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严守生态红线</w:t>
            </w:r>
          </w:p>
        </w:tc>
        <w:tc>
          <w:tcPr>
            <w:tcW w:w="1827" w:type="dxa"/>
            <w:shd w:val="clear" w:color="auto" w:fill="auto"/>
            <w:vAlign w:val="center"/>
          </w:tcPr>
          <w:p>
            <w:pPr>
              <w:widowControl/>
              <w:spacing w:line="26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加强生态保护</w:t>
            </w:r>
          </w:p>
          <w:p>
            <w:pPr>
              <w:widowControl/>
              <w:spacing w:line="26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红线管理</w:t>
            </w:r>
          </w:p>
        </w:tc>
        <w:tc>
          <w:tcPr>
            <w:tcW w:w="6899" w:type="dxa"/>
            <w:shd w:val="clear" w:color="auto" w:fill="auto"/>
            <w:vAlign w:val="center"/>
          </w:tcPr>
          <w:p>
            <w:pPr>
              <w:widowControl/>
              <w:spacing w:line="26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落实国家级生态保护红线规划和省生态空间管控规划。根据统一部署，开展生态保护红线勘界定标。开展本地区生态空间管控区“一区一策”编制。贯彻落实国家、省管控要求，完善生态保护红线长效监管机制，做好日常监督管理。落实生态补偿和转移支付政策。</w:t>
            </w:r>
          </w:p>
        </w:tc>
        <w:tc>
          <w:tcPr>
            <w:tcW w:w="2006"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自然资源和规划所</w:t>
            </w:r>
          </w:p>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建设局</w:t>
            </w:r>
          </w:p>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14"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72</w:t>
            </w:r>
          </w:p>
        </w:tc>
        <w:tc>
          <w:tcPr>
            <w:tcW w:w="2888" w:type="dxa"/>
            <w:gridSpan w:val="2"/>
            <w:shd w:val="clear" w:color="auto" w:fill="auto"/>
            <w:vAlign w:val="center"/>
          </w:tcPr>
          <w:p>
            <w:pPr>
              <w:widowControl/>
              <w:spacing w:line="26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开展“绿盾”自然保护地监督检查专项行动</w:t>
            </w:r>
          </w:p>
        </w:tc>
        <w:tc>
          <w:tcPr>
            <w:tcW w:w="6899" w:type="dxa"/>
            <w:shd w:val="clear" w:color="auto" w:fill="auto"/>
            <w:vAlign w:val="center"/>
          </w:tcPr>
          <w:p>
            <w:pPr>
              <w:widowControl/>
              <w:spacing w:line="26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对专项检查发现的问题落实整改，严肃查处各类违法违规行为。</w:t>
            </w:r>
          </w:p>
        </w:tc>
        <w:tc>
          <w:tcPr>
            <w:tcW w:w="2006"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自然资源和规划所</w:t>
            </w:r>
          </w:p>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水利站</w:t>
            </w:r>
          </w:p>
        </w:tc>
        <w:tc>
          <w:tcPr>
            <w:tcW w:w="1417" w:type="dxa"/>
            <w:shd w:val="clear" w:color="auto" w:fill="auto"/>
            <w:vAlign w:val="center"/>
          </w:tcPr>
          <w:p>
            <w:pPr>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（六）提升污染防治能力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73</w:t>
            </w:r>
          </w:p>
        </w:tc>
        <w:tc>
          <w:tcPr>
            <w:tcW w:w="1061" w:type="dxa"/>
            <w:shd w:val="clear" w:color="auto" w:fill="auto"/>
            <w:vAlign w:val="center"/>
          </w:tcPr>
          <w:p>
            <w:pPr>
              <w:spacing w:line="28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环境基础设施建设</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开展“绿岛”建设试点</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开展“绿岛”建设试点，鼓励地方建设可供多个市场主体共享的环保公共基础设施。</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洪庄村</w:t>
            </w:r>
          </w:p>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前杨村</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74</w:t>
            </w:r>
          </w:p>
        </w:tc>
        <w:tc>
          <w:tcPr>
            <w:tcW w:w="1061" w:type="dxa"/>
            <w:vMerge w:val="restart"/>
            <w:shd w:val="clear" w:color="auto" w:fill="auto"/>
            <w:vAlign w:val="center"/>
          </w:tcPr>
          <w:p>
            <w:pPr>
              <w:spacing w:line="28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着力提升环境监测能力</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乡镇（街道）空气质量监测网络建设项目</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配合上级新建空气自动站（全区4个）。</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w:t>
            </w:r>
          </w:p>
        </w:tc>
        <w:tc>
          <w:tcPr>
            <w:tcW w:w="1061" w:type="dxa"/>
            <w:vMerge w:val="continue"/>
            <w:shd w:val="clear" w:color="auto" w:fill="auto"/>
            <w:vAlign w:val="center"/>
          </w:tcPr>
          <w:p>
            <w:pPr>
              <w:spacing w:line="280" w:lineRule="exact"/>
              <w:jc w:val="center"/>
              <w:rPr>
                <w:rFonts w:hint="default" w:ascii="Times New Roman" w:hAnsi="Times New Roman" w:eastAsia="仿宋_GB2312" w:cs="Times New Roman"/>
                <w:sz w:val="22"/>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环境水质自动监测能力建设</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加密水质自动监测站点布设，新建、移建水质自动站，实现重点区域、重要水域监测点位全覆盖。</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76</w:t>
            </w:r>
          </w:p>
        </w:tc>
        <w:tc>
          <w:tcPr>
            <w:tcW w:w="1061"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2"/>
              </w:rPr>
              <w:t>着力提升环境监控能力</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提升监测监控</w:t>
            </w:r>
          </w:p>
          <w:p>
            <w:pPr>
              <w:widowControl/>
              <w:spacing w:line="280" w:lineRule="exact"/>
              <w:jc w:val="center"/>
              <w:rPr>
                <w:rFonts w:hint="default" w:ascii="Times New Roman" w:hAnsi="Times New Roman" w:eastAsia="楷体" w:cs="Times New Roman"/>
                <w:szCs w:val="32"/>
              </w:rPr>
            </w:pPr>
            <w:r>
              <w:rPr>
                <w:rFonts w:hint="default" w:ascii="Times New Roman" w:hAnsi="Times New Roman" w:eastAsia="仿宋_GB2312" w:cs="Times New Roman"/>
                <w:sz w:val="21"/>
              </w:rPr>
              <w:t>能力建设</w:t>
            </w:r>
          </w:p>
        </w:tc>
        <w:tc>
          <w:tcPr>
            <w:tcW w:w="6899" w:type="dxa"/>
            <w:shd w:val="clear" w:color="auto" w:fill="auto"/>
            <w:vAlign w:val="center"/>
          </w:tcPr>
          <w:p>
            <w:pPr>
              <w:widowControl/>
              <w:spacing w:line="280" w:lineRule="exact"/>
              <w:jc w:val="left"/>
              <w:rPr>
                <w:rFonts w:hint="default" w:ascii="Times New Roman" w:hAnsi="Times New Roman" w:cs="Times New Roman"/>
                <w:sz w:val="21"/>
              </w:rPr>
            </w:pPr>
            <w:r>
              <w:rPr>
                <w:rFonts w:hint="default" w:ascii="Times New Roman" w:hAnsi="Times New Roman" w:eastAsia="仿宋_GB2312" w:cs="Times New Roman"/>
                <w:sz w:val="21"/>
              </w:rPr>
              <w:t>实现所有企业自行监测数据与生态环境监管部门联网，列入秋冬季管控清单的重点企业全部安装用电在线监控。</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（七）深化生态环境治理体系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77</w:t>
            </w:r>
          </w:p>
        </w:tc>
        <w:tc>
          <w:tcPr>
            <w:tcW w:w="1061" w:type="dxa"/>
            <w:vMerge w:val="restart"/>
            <w:shd w:val="clear" w:color="auto" w:fill="auto"/>
            <w:vAlign w:val="center"/>
          </w:tcPr>
          <w:p>
            <w:pPr>
              <w:widowControl/>
              <w:spacing w:line="28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完善生态环境监管体系</w:t>
            </w: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完善生态环境监管体系</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完善环境网格化监管体系。落实“三线一单”，强化项目环评与规划环评、现有项目环境管理、区域环境质量联动的“三挂钩”机制。</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78</w:t>
            </w:r>
          </w:p>
        </w:tc>
        <w:tc>
          <w:tcPr>
            <w:tcW w:w="1061" w:type="dxa"/>
            <w:vMerge w:val="continue"/>
            <w:shd w:val="clear" w:color="auto" w:fill="auto"/>
            <w:vAlign w:val="center"/>
          </w:tcPr>
          <w:p>
            <w:pPr>
              <w:widowControl/>
              <w:spacing w:line="280" w:lineRule="exact"/>
              <w:jc w:val="center"/>
              <w:rPr>
                <w:rFonts w:hint="default" w:ascii="Times New Roman" w:hAnsi="Times New Roman" w:eastAsia="仿宋_GB2312" w:cs="Times New Roman"/>
                <w:sz w:val="22"/>
              </w:rPr>
            </w:pPr>
          </w:p>
        </w:tc>
        <w:tc>
          <w:tcPr>
            <w:tcW w:w="1827" w:type="dxa"/>
            <w:shd w:val="clear" w:color="auto" w:fill="auto"/>
            <w:vAlign w:val="center"/>
          </w:tcPr>
          <w:p>
            <w:pPr>
              <w:widowControl/>
              <w:spacing w:line="28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加强排污许可证管理</w:t>
            </w:r>
          </w:p>
        </w:tc>
        <w:tc>
          <w:tcPr>
            <w:tcW w:w="6899" w:type="dxa"/>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2020年，完成覆盖所有固定污染源的排污许可证核发工作，构建以排污许可证为核心的固定污染源全过程监管和多污染物协同控制制度。</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三、推进突出环境问题整改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79</w:t>
            </w:r>
          </w:p>
        </w:tc>
        <w:tc>
          <w:tcPr>
            <w:tcW w:w="9787" w:type="dxa"/>
            <w:gridSpan w:val="3"/>
            <w:shd w:val="clear" w:color="auto" w:fill="auto"/>
            <w:vAlign w:val="center"/>
          </w:tcPr>
          <w:p>
            <w:pPr>
              <w:widowControl/>
              <w:spacing w:line="280" w:lineRule="exact"/>
              <w:jc w:val="left"/>
              <w:rPr>
                <w:rFonts w:hint="default" w:ascii="Times New Roman" w:hAnsi="Times New Roman" w:eastAsia="仿宋_GB2312" w:cs="Times New Roman"/>
                <w:sz w:val="21"/>
              </w:rPr>
            </w:pPr>
            <w:r>
              <w:rPr>
                <w:rFonts w:hint="default" w:ascii="Times New Roman" w:hAnsi="Times New Roman" w:eastAsia="仿宋_GB2312" w:cs="Times New Roman"/>
                <w:sz w:val="21"/>
              </w:rPr>
              <w:t>着力解决突出环境问题，有效规范环境秩序。对中央环保督察“回头看”反馈问题、省级环保督察反馈问题、省级《2018-2020年突出环境问题清单》、省政府挂牌督办重点生态环境问题、省级水环境突出问题、《常州市2018-2020年突出环境问题清单》中相关问题，严格按照相关整改要求，完善整改方案，逐项整改、逐个销号，按照时序进度，确保问题及时整改到位。</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5201" w:type="dxa"/>
            <w:gridSpan w:val="7"/>
            <w:shd w:val="clear" w:color="auto" w:fill="auto"/>
            <w:vAlign w:val="center"/>
          </w:tcPr>
          <w:p>
            <w:pPr>
              <w:tabs>
                <w:tab w:val="left" w:pos="13440"/>
              </w:tabs>
              <w:spacing w:line="280" w:lineRule="exact"/>
              <w:jc w:val="left"/>
              <w:rPr>
                <w:rFonts w:hint="default" w:ascii="Times New Roman" w:hAnsi="Times New Roman" w:eastAsia="仿宋_GB2312" w:cs="Times New Roman"/>
                <w:sz w:val="21"/>
                <w:szCs w:val="21"/>
              </w:rPr>
            </w:pPr>
            <w:r>
              <w:rPr>
                <w:rFonts w:hint="default" w:ascii="Times New Roman" w:hAnsi="Times New Roman" w:eastAsia="楷体_GB2312" w:cs="Times New Roman"/>
                <w:b/>
                <w:bCs/>
                <w:sz w:val="21"/>
                <w:szCs w:val="21"/>
              </w:rPr>
              <w:t>四、组织推进情况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c>
          <w:tcPr>
            <w:tcW w:w="9787" w:type="dxa"/>
            <w:gridSpan w:val="3"/>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rPr>
              <w:t>加大问题曝光力度。加强社会舆论监督，推进突出问题整改。</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81</w:t>
            </w:r>
          </w:p>
        </w:tc>
        <w:tc>
          <w:tcPr>
            <w:tcW w:w="9787" w:type="dxa"/>
            <w:gridSpan w:val="3"/>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及时上报生态文明建设信息，完成信息上报月度、年度工作任务，以及美苏263信息点击点赞数量任务。</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4"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82</w:t>
            </w:r>
          </w:p>
        </w:tc>
        <w:tc>
          <w:tcPr>
            <w:tcW w:w="9787" w:type="dxa"/>
            <w:gridSpan w:val="3"/>
            <w:shd w:val="clear" w:color="auto" w:fill="auto"/>
            <w:vAlign w:val="center"/>
          </w:tcPr>
          <w:p>
            <w:pPr>
              <w:widowControl/>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rPr>
              <w:t>加强污染防治综合监管平台运行管理。进一步做好问题线索收集，完善业务系统与监管平台的数据对接，提高平台可操作性，强化平台监督功能。</w:t>
            </w:r>
          </w:p>
        </w:tc>
        <w:tc>
          <w:tcPr>
            <w:tcW w:w="2006"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生态和农村工作局（生态环保办）</w:t>
            </w:r>
          </w:p>
        </w:tc>
        <w:tc>
          <w:tcPr>
            <w:tcW w:w="1417" w:type="dxa"/>
            <w:shd w:val="clear" w:color="auto" w:fill="auto"/>
            <w:vAlign w:val="center"/>
          </w:tcPr>
          <w:p>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相关村、社区</w:t>
            </w:r>
          </w:p>
        </w:tc>
        <w:tc>
          <w:tcPr>
            <w:tcW w:w="1277" w:type="dxa"/>
            <w:shd w:val="clear" w:color="auto" w:fill="auto"/>
            <w:vAlign w:val="center"/>
          </w:tcPr>
          <w:p>
            <w:pPr>
              <w:tabs>
                <w:tab w:val="left" w:pos="13440"/>
              </w:tabs>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上级目标</w:t>
            </w:r>
          </w:p>
        </w:tc>
      </w:tr>
    </w:tbl>
    <w:p>
      <w:pPr>
        <w:rPr>
          <w:rFonts w:hint="default" w:ascii="Times New Roman" w:hAnsi="Times New Roman" w:cs="Times New Roman"/>
        </w:rPr>
      </w:pPr>
    </w:p>
    <w:sectPr>
      <w:headerReference r:id="rId3" w:type="default"/>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0F"/>
    <w:rsid w:val="00013810"/>
    <w:rsid w:val="0003267B"/>
    <w:rsid w:val="00081A71"/>
    <w:rsid w:val="00081D29"/>
    <w:rsid w:val="000A742A"/>
    <w:rsid w:val="000C027D"/>
    <w:rsid w:val="000C7FCC"/>
    <w:rsid w:val="000D1260"/>
    <w:rsid w:val="000D5109"/>
    <w:rsid w:val="00120085"/>
    <w:rsid w:val="00155DC9"/>
    <w:rsid w:val="001D7402"/>
    <w:rsid w:val="001E1D11"/>
    <w:rsid w:val="001E4254"/>
    <w:rsid w:val="001E48DB"/>
    <w:rsid w:val="001E4B21"/>
    <w:rsid w:val="00265BEB"/>
    <w:rsid w:val="002C1092"/>
    <w:rsid w:val="002C657D"/>
    <w:rsid w:val="002F3843"/>
    <w:rsid w:val="00307176"/>
    <w:rsid w:val="003077A6"/>
    <w:rsid w:val="0030795A"/>
    <w:rsid w:val="003E48DE"/>
    <w:rsid w:val="00462338"/>
    <w:rsid w:val="00462C23"/>
    <w:rsid w:val="00483718"/>
    <w:rsid w:val="00491786"/>
    <w:rsid w:val="004B570A"/>
    <w:rsid w:val="004B6255"/>
    <w:rsid w:val="004D2064"/>
    <w:rsid w:val="0051285E"/>
    <w:rsid w:val="005140C6"/>
    <w:rsid w:val="00522296"/>
    <w:rsid w:val="00524479"/>
    <w:rsid w:val="00535EBE"/>
    <w:rsid w:val="0058103D"/>
    <w:rsid w:val="00585987"/>
    <w:rsid w:val="006139D2"/>
    <w:rsid w:val="00640617"/>
    <w:rsid w:val="00643E73"/>
    <w:rsid w:val="00644150"/>
    <w:rsid w:val="00665DE1"/>
    <w:rsid w:val="006A2A48"/>
    <w:rsid w:val="006D25A8"/>
    <w:rsid w:val="00705E9E"/>
    <w:rsid w:val="00720D31"/>
    <w:rsid w:val="00734F6D"/>
    <w:rsid w:val="007402F5"/>
    <w:rsid w:val="00742EEA"/>
    <w:rsid w:val="00743988"/>
    <w:rsid w:val="00750AE7"/>
    <w:rsid w:val="0076476E"/>
    <w:rsid w:val="007C3EE5"/>
    <w:rsid w:val="007C5CA2"/>
    <w:rsid w:val="007D0400"/>
    <w:rsid w:val="007E0C7F"/>
    <w:rsid w:val="007E2E2A"/>
    <w:rsid w:val="00811260"/>
    <w:rsid w:val="00827B0D"/>
    <w:rsid w:val="00835542"/>
    <w:rsid w:val="00836154"/>
    <w:rsid w:val="00844390"/>
    <w:rsid w:val="008455A0"/>
    <w:rsid w:val="008952A5"/>
    <w:rsid w:val="008B397E"/>
    <w:rsid w:val="00901D0F"/>
    <w:rsid w:val="0091128F"/>
    <w:rsid w:val="00944BF2"/>
    <w:rsid w:val="00976825"/>
    <w:rsid w:val="009850EC"/>
    <w:rsid w:val="009B1898"/>
    <w:rsid w:val="009C5065"/>
    <w:rsid w:val="009E13AA"/>
    <w:rsid w:val="009F6D7D"/>
    <w:rsid w:val="00A07B16"/>
    <w:rsid w:val="00A925B3"/>
    <w:rsid w:val="00AB344D"/>
    <w:rsid w:val="00AB3B7D"/>
    <w:rsid w:val="00B0151D"/>
    <w:rsid w:val="00B2104A"/>
    <w:rsid w:val="00B41326"/>
    <w:rsid w:val="00B6059C"/>
    <w:rsid w:val="00B66C0F"/>
    <w:rsid w:val="00BC1D7E"/>
    <w:rsid w:val="00BE689C"/>
    <w:rsid w:val="00C048BA"/>
    <w:rsid w:val="00C20129"/>
    <w:rsid w:val="00C31433"/>
    <w:rsid w:val="00C3782E"/>
    <w:rsid w:val="00C414A9"/>
    <w:rsid w:val="00C4575B"/>
    <w:rsid w:val="00C75CF4"/>
    <w:rsid w:val="00C96A91"/>
    <w:rsid w:val="00CF1204"/>
    <w:rsid w:val="00D46DB0"/>
    <w:rsid w:val="00D518DC"/>
    <w:rsid w:val="00D67F59"/>
    <w:rsid w:val="00D725FE"/>
    <w:rsid w:val="00DD3826"/>
    <w:rsid w:val="00DE0E76"/>
    <w:rsid w:val="00E14B82"/>
    <w:rsid w:val="00E17D2E"/>
    <w:rsid w:val="00E5765F"/>
    <w:rsid w:val="00ED7EF5"/>
    <w:rsid w:val="00EE4515"/>
    <w:rsid w:val="00F82A22"/>
    <w:rsid w:val="00F907DA"/>
    <w:rsid w:val="00FA3FD1"/>
    <w:rsid w:val="00FF6A75"/>
    <w:rsid w:val="027A4322"/>
    <w:rsid w:val="0F066CE6"/>
    <w:rsid w:val="0F40140D"/>
    <w:rsid w:val="0FC75B54"/>
    <w:rsid w:val="168646DA"/>
    <w:rsid w:val="1832786F"/>
    <w:rsid w:val="18D13F7A"/>
    <w:rsid w:val="192808CB"/>
    <w:rsid w:val="2AC21334"/>
    <w:rsid w:val="38C875FA"/>
    <w:rsid w:val="3FC836A1"/>
    <w:rsid w:val="477651E3"/>
    <w:rsid w:val="49537BE0"/>
    <w:rsid w:val="49B669FB"/>
    <w:rsid w:val="4D64442B"/>
    <w:rsid w:val="5D6B4125"/>
    <w:rsid w:val="5DCE6D53"/>
    <w:rsid w:val="658A4F83"/>
    <w:rsid w:val="677E0FC9"/>
    <w:rsid w:val="7474787B"/>
    <w:rsid w:val="75FA7B43"/>
    <w:rsid w:val="769B2C07"/>
    <w:rsid w:val="7B7A2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qFormat/>
    <w:uiPriority w:val="0"/>
    <w:rPr>
      <w:rFonts w:ascii="Calibri" w:hAnsi="Calibri"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1593</Words>
  <Characters>9083</Characters>
  <Lines>75</Lines>
  <Paragraphs>21</Paragraphs>
  <TotalTime>10</TotalTime>
  <ScaleCrop>false</ScaleCrop>
  <LinksUpToDate>false</LinksUpToDate>
  <CharactersWithSpaces>10655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2020-04-21T00:58:00Z</dcterms:created>
  <dc:creator>Windows 用户</dc:creator>
  <cp:lastModifiedBy>亵渎の灵魂ぇ</cp:lastModifiedBy>
  <cp:lastPrinted>2020-04-24T09:10:00Z</cp:lastPrinted>
  <dcterms:modified xsi:type="dcterms:W3CDTF">2020-04-28T08:40:45Z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