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12320483467365775Y</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常州市武进区遥观镇畜牧兽医站</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常州市武进区遥观镇畜牧兽医站(常州市武进区遥观镇动物防疫站)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负责本镇畜禽疫病和人畜共患病的防治、检疫、监督等工作及畜牧业生产工作。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常州市武进区遥观镇西街9号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蒋国伟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7.0（万元）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财政补助(全额拨款)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江苏常州经济开发区农业农村工作局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73.14</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73.3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2022年，在经开区农业农村工作局和遥观镇党委、政府的正确领导下，遥观镇畜牧兽医站坚持以习近平新时代中国特色社会主义思想为指引，认真组织学习党的二十大精神，全面贯彻落实上级各项工作部署，紧紧围绕重大动物疫病三大集中防疫行动、年华牧业稳产保供安全监管及站务监管服务等重点工作，全站同志凝心聚力，真抓实干，圆满完成了全年工作目标任务。现将本站全年工作总结如下：
一、全年主要工作开展情况
    1、年华牧业生猪稳产保供养殖安全监管。常州市年华牧业遥观镇渔庄村生猪现代化养殖作为政府稳产保供重大民生工程项目，也是乡村振兴农业现代化发展重大项目。作为年华牧业直属监管部门，全站同志做到以身作则，履职尽责。在2022年，积极陪同上级相关部门领导开展年华各类调研指导和督察工作10次；组织开展全程生猪产地检疫和无害化处理监管工作，全年累计出栏生猪1.5567万头、无害化处理死淘猪745头，全部经现场检疫合格上市和监管到位；组织开展非洲猪瘟防控和生猪免疫抗体监测采样150余份，合格率达95%以上；规范指导企业开展养殖档案、兽药减抗及畜禽粪污资源化利用等台账建设指导监督，全年畜禽粪污资源化利用达95%以上；认真指导企业开展洗消中心项目建设设施农业地备案及各类相关项目申报。今年，年华成功创建“国家级生猪产能调控基地”和“省级畜禽养殖标准化示范场”；在产业扶持政策上积极与上级部门加强协调对接，帮助企业获得各类财政专项补助资金1100余万元，有效保障生猪现代化养殖健康稳定发展。
2、重大动物疫病集中防疫行动。根据区、镇统一部署，及早宣传发动，科学动员组织，认真制定并下发遥政发[2022]9号《关于印发&lt;遥观镇2022年重大动物疫病防控工作方案&gt;的通知》，精心组织实施遥观镇2022年春、夏、秋季三大重大动物疫病集中防疫行动，每次都及时完成规定工作任务，并规范配合开展动物防疫资金结报、审计等工作。全年累计免疫生猪口蹄疫、猪瘟2.4万余头份，家禽禽流感1.07万羽、鸡新城疫0.9万羽，犬类狂犬病0.16万只，各类场所发放消毒药品763公斤，消毒面积达38.15万平方米，开展动物疫病防控指导监管287人次，有效保障全镇重大动物疫病防控及维护公共卫生安全。
3、创新站务管理，规范监管服务。作为基层畜牧兽医站，我们始终以“抓管理、保安全、促提升”为目标。平时严格遵守站内工作纪律和各项规章制度，服从上级领导安排，每周及时上报下周工作计划，每月上报本月工作情况及下月工作计划，每月定期召开一次站务会议，总结分析存在问题和改进措施。每月坚持认真开展年华牧业及兽医经营企业日常监管工作，及时发现问题并现场整改到位；每季度开展一次全镇关停活禽交易市场和宠物项目经营场所监督检查工作，确保畜产品安全。
4、强化理论学习，提升服务水平。全年坚持认真学习贯彻落实上级各类文件精神，积极组织参加各类业务学习培训13次、党支部学习培训活动5次，全年认真组织开展官方兽医线上培训学习，并完成每人23.5个视频培训学时，全站以优异成绩通过官方兽医网上资格考试。站内每月组织开展深入学习贯彻习近平新时代中国特色社会主义思想、党的二十大会议精神等内容，做到认真记录，交流学习心得，促进相互提升。通过培训学习，进一步提高全站人员政治站位，增强畜牧兽医业务服务水平。在今年二月，获评中共遥观镇委员会“最强保障单位”荣誉。
二、存在问题
1、在优化队伍管理，创新服务效能方面有待提升；
2、在业务服务水平，思想政治能力方面有待加强。
三、明年工作打算
1、动物防疫工作。根据上级统一部署，全年认真组织开展全镇三大重大动物疫病集中防疫行动，规范落实非洲猪瘟、高致病性禽流感等重大动物疫病防控措施，保障重大动物疫病防控安全；
2、生猪养殖监管。全年规范开展年华牧业生猪养殖环节进苗、免疫消毒、投入品安全、无害化处理、出栏检疫、台账建设、项目申报、粪污资源化利用及除臭整改等全程监管工作，促进规范养殖行为，保障出栏生猪健康安全。
3、畜产品安全监管。每月开展兽药经营企业规范经营行为日常监管，每季度开展关停活禽市场及相关场所监督检查，保障畜产品安全。
4、站务管理和学习培训。进一步优化队伍管理，创新服务效能；加强业务培训及思想政治学习工作，及时完成官方兽医资格考核，继续认真组织开展党的二十大精神、习近平思想等主题学习活动，促进兽医技能服务及思想政治能力“双提升”。
5、及时完成区、镇交办的其他工作任务。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2023年02月17日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王凤娟</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13656113627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