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12320483MB04932471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常州市武进区芙蓉幼儿园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学前幼儿教育。招收3-6岁儿童，为他们提供健康、丰富的生活和活动环境，满足他们多方面的需要，促进幼儿发展。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常州市武进区横山桥镇芙蓉新街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刘静贤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171.8128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180.7228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无变更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2022年，是精彩纷呈、充满挑战的一年。这一年，芙蓉幼儿园坚定落实党的教育方针，传承弘扬爱国主义精神，在“自然育人 育自然人”的办园理念下，以奋斗的姿态风雨兼程、笃定前行，做有温度、有厚度、有深度的学前教育。
一、恪守初心 德行致远
为进一步加强教职工师德师风建设，不断提升全体教职工的职业道德素养，我园紧扣“迎接党的二十大”这一主线，以习近平寄语人民教师为切入点，与全体老师分享学习习近平总书记“四有好老师”精神内涵和师德师风教育工作中正面典型案例。
二、同频共振 群雁齐飞
1.研训结合，提高教师专业水平
学期初，我园制定了切实可行的学习培训计划，定期组织教师进行业务理论学习，特别是进一度研读《3-6岁儿童学习与发展与指南》《幼儿园保育教育质量评估指南》等，我园利用一起长大APP,在华东师范大学学前教育与特殊教育学院华爱华教授的引领下，通过听、做、研等方式，与专家面对面，聚焦区域变革，推动课程游戏化的实践行动。
（1）好书共读活动
（2）自制教玩具展评活动
（3）区域开放活动
2.立足本土，扎实开展课题活动
本学期，我们课题组成员有目的、有计划地扎扎实实地开展了棋类课题和劳动课题，并于11月顺利完成中期评估。特别是劳动教育项目的开展，为幼儿园积累了一大批优秀的劳动实践案例，我们以此为抓手，继续探索幼儿劳动教育游戏化实施策略的研究，并积极申报了江苏省教育科学“十四五”规划专项课题。
三、多彩活动 浸润童心
1.双节主题活动
在教师节和中秋节来临之际，我园开展了“喜迎中秋  与爱同行”为主题的中秋节教师节双节主题活动。各班教师带领幼儿话中秋、唱中秋、演中秋、敬中秋。通过一系列活动，幼儿不仅感受到了浓厚的节日气氛，也懂得了要尊重爱戴自己的老师。
2.宪法宣传周活动
在“12.4”国家宪法日暨全国法制宣传日到来之际，我园精心部署，扎实开展了形式多样的“宪法宣传周”活动。全体教师观看普法短视频，了解宪法与我们的生活息息相关，始终坚守依法执教的初心。
3.迎国庆系列活动
为了培养幼儿爱国、爱党、爱家乡的情怀，增强幼儿的民族意识和爱国情感，我园开展了“喜迎二十大  共筑民族情”迎国庆系列活动。孩子们制作国旗、绘制长卷、制作银饰、创意建构、载歌载舞、感受茶文化、品尝五彩糯米饭……
4.亲子实践活动
为了拓展幼儿视野，陶冶幼儿情操，我园结合劳动课题，我们开展了秋季亲子实践活动。在佳农探趣生态园里，孩子们回归大自然，在暖暖的亲情围绕中，享受着劳作、亲子探索、观察发现、合作分享的快乐。
四、守护安全 防患未然
1.强化安全责任
我园始终将安全工作放在首位，成立安全工作领导小组，层层签订安全目标责任书，明确责任。安全小组由园长为组长，后勤主任为副组长，组员由保健老师、安保员和各年段组长组成。形成园长直接领导，定期对全体教职工进行安全教育，增强教职工的责任感。
2.深化防范意识
我园每月进行一次安全知识培训，提高教职工在遇到安全事故时的应急能力。并把安全教育融入幼儿的一日教学计划中，同时利用家园栏、LED电子屏、班级钉钉群等宣传教育手段,敲起大家的安全警钟，让幼儿从小牢固树立起安全意识，增强幼儿的法制意识，努力提高他们战胜困难和经受挫折的能力。另外根据局里文件要求，向全园幼儿发出“珍爱生命, 预防溺水”的口号，通过《致家长的一封信》与家长签订《防溺水安全承诺书》等。
3.加强防控措施
人防:大门有保安,园内有保教人员，有效减少意外事故的发生。物防:注重幼儿园设施设备的检查与维修,特别是幼儿体育器具和大型玩具的检查，一旦发现有隐患，及时请人维修。注重小环境的安全，经常检查幼儿区域角游戏材料情况，确保幼儿游戏的安全性。技防:给保安人员配置了必备的防护興，有防割手套、辣椒水、橡皮棍、抓捕器、手电筒等等。
五、抗疫有我 战疫同行
1.加强组织领导
（1）成立领导小组。
（2）完善方案预案和各项制度。
2.抓好宣传教育
开展线上线下全体教职工防控工作会议及防疫培训，传达上级防控精神和政策，认真学习疫情防控知识，积极发布疫情相关科普宣传知识，通过微信公众号、家长群、钉钉等平台载体，发布疫情防控日常知识手册等信息，做到疫情防控知识宣传全覆盖。
3.从严落实举措
（1）做好师生疫情摸排。
（2）建立疫情台账档案。
（3）严格落实校园核酸检测和报告制度。
展望2023年，我园将锁定目标抓工作，以促进教师专业发展为核心，以服务幼儿健康成长为宗旨，以常规管理为抓手，以制度改革为动力，开拓创新，扎实工作。回望芙蓉幼儿园过去一学年的美好瞬间，有突破，有惊喜，有快乐，有感动，作为乡村幼教人，芙蓉幼儿园全体幼教人将乘着党的二十大东风，带着爱与美好勇挑重任，蓄力前行，再谱新篇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
有效期：自2021年9月至2024年8月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常州经开区常规管理考核 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朱莲娜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15906129150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