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123204054672954124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江苏常州经济开发区机关服务中心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江苏常州经济开发区机关服务中心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负责党工委、管委会机关日常后勤管理和服务保障工作；负责经开区门户网站建设维护，承担电子政务建设规划管理，提供政务网络软硬件技术支持和服务，保障政务网络信息安全。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黄志杰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17.0（万元）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江苏常州经济开发区党政办公室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44.5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、改革创新，标准化试点工作高质量完成。以中心公务用车、后勤服务工作为切入点，将公务用车管理、一体化后勤服务经验与体系搭建相融合，一是依托“全区一张网”平台基础，探索出“公务用车+社会化租赁”的出行模式，实现了公务用车集中集约管理，切实降低了机关运行成本；二是依托“互联网+后勤”的信息化建设，推进大数据、云计算、人工智能等信息化技术与后勤服务相结合，构筑了智慧食堂系统、会务服务线上预订、检查督导有章可循的一体化后勤服务体系，确保了后勤保障服务规范、高效、标准。
2、服务到位，公务接待工作进一步规范标准。一是抓服务。筹建公务接待工作机构，安排专人专职负责，提升接待队伍服务能力。落实落细各项规定，梳理更新相关制度规定汇编，编制《接待工作手册》。二是抓点位。聚焦经开区经济社会发展，进一步梳理更新考察点目录和内容简介，完善考察线路设计，全方位展示经开区地方经济发展、城市建设、社会事业等各领域面貌和成效。三是抓学习。加强与市接待办和其他各辖市区的联系交流，定期召开接待工作例会，学习相关接待案例，交流业务知识，分享经验体会。及时组织重要任务总结分析会，剖析存在问题，明确改进措施。
3、绿色先行，公共机构节能水平稳步提升。一是开展项目建设。目前，我中心负责定期督促指导全区98家公共机构完成能耗数据和节能情况报送工作。二是全力推动创建。倡导培养“绿色、低碳、环保”的工作生活理念，大力推进公共机构节能各类示范先进单位创建，目前已创建成国家级节约型公共机构 1家，省级节能示范单位1家，市节能降碳先进单位10家，市能耗统计先进单位 10家，节约型机关18家，完成率达到90%；市级节水型机关和单位22家。三是全面营造氛围。大力开展节水、节能、垃圾分类专题宣传活动，大力倡导“简约适度、绿色低碳”的工作、生活方式。组织开展“厉行勤俭节约、制止铺张浪费”系列志愿服务活动，积极营造“人人讲节约、事事论节俭、处处见行动”的浓厚氛围。
4、统筹谋划，办公用房集约节约管理稳步推进。一是加强使用管理。充分结合全省办公用房“一张网”信息系统升级要求，及时完成了系统填报工作。在此基础上，积极参与推动市、区、镇三级办公用房信息数据上下一体、互联互通，以信息化手段助力办公用房各项管理制度落实、资源优化配置，努力实现标准化、合规化、长效化管理。严格落实办公用房集中统一管理要求，严格履行办公用房调剂、置换、租赁、大中修等相关审批程序，进一步规范使用管理流程、科学安排预算资金。二是严格监督检查。根据全市党政机关办公用房监督管理有关文件精神，坚持以全市办公用房专项巡检作为作风整顿的重要举措，以此作为规范全区党政机关办公用房的有力抓手，认真组织开展全市办公用房监督检查工作。全面参与区纪工委“1+12”协同监督机制，积极会同纪工委、财政等部门组成专项巡检组，精心组织、统筹谋划、细化方案，精准把握政策规定，统筹推进监督工作，有效保障办公用房政策规定落地落实。
5、保障有力，机关后勤服务质量不断提高。一是积极推动健康食堂、满意食堂建设，依托“经开区智慧餐饮系统”，及时统计分析菜品售卖情况，并根据服务对象喜好，动态调整供应品种和数量，改善干部职工膳食结构，并持续深入推动节约型食堂。二是严格落实警保联动机制，认真做好上访人员劝阻、疏导工作，确保了办公区域的平稳运行。三是严格落实公共区域每天不少于5次，洗手间、卫生间、电梯等重点区域每2小时1次的消杀作业要求，确保了机关办公生活区域防疫安全、卫生整洁。四是扎实完成设施设备运行维保工作。完成了行政中心消防维保、电梯维护、中央空调维保、监控设备维修、行政中心各类零星维修等，确保行政中心设施设备运行平稳有序。五是高标准、严要求会务保障每个细节。
6、多措并举，高质量完成疫情防控工作各项任务。一是快速反应建立联控机制。经开区“3.13”、“4.25”疫情突发后，成立以机关服务中心为牵头单位的后勤保障专班，统筹行政中心大楼疫情防控总体工作，做好疫情防控流调前线指挥部办公场地、用餐、住宿、车辆、及办公物资等后勤保障工作。二是严防死守确保防控责任区安全。坚决发扬工作作风，严格落实人员出入控制、场所码登记、每日核酸检测、公共区域定时消杀等防疫要求，成功实现了责任区域“无疫”目标。三是全力以赴保障值守干部就餐。努力协调解决原材料供应中出现的突出困难，坚决强化风险管控，高强度、高质量完成了市本级机关单位疫情防控期间用餐需求。四是精心做好公车保障。以“保安全、保畅通”为原则，对有疫情地区域定车定岗，严格做好司勤人员个人防护，严格落实出车前后全面消杀通风，严格风险区返回司勤人员、车辆管控，杜绝风险司勤人员、风险车辆执行任务，为经开区打赢疫情防控攻坚战役作出了积极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2023年03月23日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王蕾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13921089998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