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0304D8">
      <w:pPr>
        <w:keepNext w:val="0"/>
        <w:keepLines w:val="0"/>
        <w:pageBreakBefore w:val="0"/>
        <w:widowControl/>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关于对常州经开区</w:t>
      </w:r>
      <w:r>
        <w:rPr>
          <w:rFonts w:hint="eastAsia" w:ascii="方正小标宋简体" w:hAnsi="方正小标宋简体" w:eastAsia="方正小标宋简体" w:cs="方正小标宋简体"/>
          <w:b w:val="0"/>
          <w:bCs w:val="0"/>
          <w:sz w:val="44"/>
          <w:szCs w:val="44"/>
          <w:lang w:val="en-US" w:eastAsia="zh-CN"/>
        </w:rPr>
        <w:t>横林实验初级中学</w:t>
      </w:r>
      <w:r>
        <w:rPr>
          <w:rFonts w:hint="eastAsia" w:ascii="方正小标宋简体" w:hAnsi="方正小标宋简体" w:eastAsia="方正小标宋简体" w:cs="方正小标宋简体"/>
          <w:b w:val="0"/>
          <w:bCs w:val="0"/>
          <w:sz w:val="44"/>
          <w:szCs w:val="44"/>
        </w:rPr>
        <w:t>常州市</w:t>
      </w:r>
    </w:p>
    <w:p w14:paraId="5ECB356B">
      <w:pPr>
        <w:keepNext w:val="0"/>
        <w:keepLines w:val="0"/>
        <w:pageBreakBefore w:val="0"/>
        <w:widowControl/>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eastAsia="zh-CN"/>
        </w:rPr>
        <w:t>“</w:t>
      </w:r>
      <w:r>
        <w:rPr>
          <w:rFonts w:hint="eastAsia" w:ascii="方正小标宋简体" w:hAnsi="方正小标宋简体" w:eastAsia="方正小标宋简体" w:cs="方正小标宋简体"/>
          <w:b w:val="0"/>
          <w:bCs w:val="0"/>
          <w:sz w:val="44"/>
          <w:szCs w:val="44"/>
        </w:rPr>
        <w:t>优质学校</w:t>
      </w:r>
      <w:r>
        <w:rPr>
          <w:rFonts w:hint="eastAsia" w:ascii="方正小标宋简体" w:hAnsi="方正小标宋简体" w:eastAsia="方正小标宋简体" w:cs="方正小标宋简体"/>
          <w:b w:val="0"/>
          <w:bCs w:val="0"/>
          <w:sz w:val="44"/>
          <w:szCs w:val="44"/>
          <w:lang w:eastAsia="zh-CN"/>
        </w:rPr>
        <w:t>”</w:t>
      </w:r>
      <w:r>
        <w:rPr>
          <w:rFonts w:hint="eastAsia" w:ascii="方正小标宋简体" w:hAnsi="方正小标宋简体" w:eastAsia="方正小标宋简体" w:cs="方正小标宋简体"/>
          <w:b w:val="0"/>
          <w:bCs w:val="0"/>
          <w:sz w:val="44"/>
          <w:szCs w:val="44"/>
          <w:lang w:val="en-US" w:eastAsia="zh-CN"/>
        </w:rPr>
        <w:t>区级</w:t>
      </w:r>
      <w:r>
        <w:rPr>
          <w:rFonts w:hint="eastAsia" w:ascii="方正小标宋简体" w:hAnsi="方正小标宋简体" w:eastAsia="方正小标宋简体" w:cs="方正小标宋简体"/>
          <w:b w:val="0"/>
          <w:bCs w:val="0"/>
          <w:sz w:val="44"/>
          <w:szCs w:val="44"/>
        </w:rPr>
        <w:t>评估的报告</w:t>
      </w:r>
    </w:p>
    <w:p w14:paraId="13DB26E1">
      <w:pPr>
        <w:keepNext w:val="0"/>
        <w:keepLines w:val="0"/>
        <w:pageBreakBefore w:val="0"/>
        <w:kinsoku/>
        <w:wordWrap/>
        <w:overflowPunct/>
        <w:topLinePunct w:val="0"/>
        <w:autoSpaceDE/>
        <w:autoSpaceDN/>
        <w:bidi w:val="0"/>
        <w:adjustRightInd/>
        <w:spacing w:line="440" w:lineRule="exact"/>
        <w:ind w:firstLine="560" w:firstLineChars="200"/>
        <w:textAlignment w:val="auto"/>
        <w:rPr>
          <w:rFonts w:hint="eastAsia" w:ascii="仿宋" w:hAnsi="仿宋" w:eastAsia="仿宋" w:cs="宋体"/>
          <w:sz w:val="28"/>
          <w:szCs w:val="28"/>
          <w:lang w:val="en-US" w:eastAsia="zh-CN"/>
        </w:rPr>
      </w:pPr>
    </w:p>
    <w:p w14:paraId="2FCC119E">
      <w:pPr>
        <w:keepNext w:val="0"/>
        <w:keepLines w:val="0"/>
        <w:pageBreakBefore w:val="0"/>
        <w:kinsoku/>
        <w:wordWrap/>
        <w:overflowPunct/>
        <w:topLinePunct w:val="0"/>
        <w:autoSpaceDE/>
        <w:autoSpaceDN/>
        <w:bidi w:val="0"/>
        <w:adjustRightInd/>
        <w:spacing w:line="57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根据常州市教育局相关文件精神</w:t>
      </w:r>
      <w:r>
        <w:rPr>
          <w:rFonts w:hint="eastAsia" w:ascii="仿宋_GB2312" w:hAnsi="仿宋_GB2312" w:eastAsia="仿宋_GB2312" w:cs="仿宋_GB2312"/>
          <w:sz w:val="32"/>
          <w:szCs w:val="32"/>
        </w:rPr>
        <w:t>要求，常</w:t>
      </w:r>
      <w:bookmarkStart w:id="0" w:name="_GoBack"/>
      <w:bookmarkEnd w:id="0"/>
      <w:r>
        <w:rPr>
          <w:rFonts w:hint="eastAsia" w:ascii="仿宋_GB2312" w:hAnsi="仿宋_GB2312" w:eastAsia="仿宋_GB2312" w:cs="仿宋_GB2312"/>
          <w:sz w:val="32"/>
          <w:szCs w:val="32"/>
        </w:rPr>
        <w:t>州</w:t>
      </w:r>
      <w:r>
        <w:rPr>
          <w:rFonts w:hint="eastAsia" w:ascii="仿宋_GB2312" w:hAnsi="仿宋_GB2312" w:eastAsia="仿宋_GB2312" w:cs="仿宋_GB2312"/>
          <w:sz w:val="32"/>
          <w:szCs w:val="32"/>
          <w:lang w:val="en-US" w:eastAsia="zh-CN"/>
        </w:rPr>
        <w:t>经开区教育和文体旅局</w:t>
      </w:r>
      <w:r>
        <w:rPr>
          <w:rFonts w:hint="eastAsia" w:ascii="仿宋_GB2312" w:hAnsi="仿宋_GB2312" w:eastAsia="仿宋_GB2312" w:cs="仿宋_GB2312"/>
          <w:sz w:val="32"/>
          <w:szCs w:val="32"/>
        </w:rPr>
        <w:t>组成评估组，</w:t>
      </w:r>
      <w:r>
        <w:rPr>
          <w:rFonts w:hint="default" w:ascii="Times New Roman" w:hAnsi="Times New Roman" w:eastAsia="仿宋_GB2312" w:cs="Times New Roman"/>
          <w:sz w:val="32"/>
          <w:szCs w:val="32"/>
        </w:rPr>
        <w:t>于20</w:t>
      </w:r>
      <w:r>
        <w:rPr>
          <w:rFonts w:hint="default" w:ascii="Times New Roman" w:hAnsi="Times New Roman" w:eastAsia="仿宋_GB2312" w:cs="Times New Roman"/>
          <w:sz w:val="32"/>
          <w:szCs w:val="32"/>
          <w:lang w:val="en-US" w:eastAsia="zh-CN"/>
        </w:rPr>
        <w:t>24</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11</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21</w:t>
      </w:r>
      <w:r>
        <w:rPr>
          <w:rFonts w:hint="default" w:ascii="Times New Roman" w:hAnsi="Times New Roman" w:eastAsia="仿宋_GB2312" w:cs="Times New Roman"/>
          <w:sz w:val="32"/>
          <w:szCs w:val="32"/>
        </w:rPr>
        <w:t>日对</w:t>
      </w:r>
      <w:r>
        <w:rPr>
          <w:rFonts w:hint="eastAsia" w:ascii="仿宋_GB2312" w:hAnsi="仿宋_GB2312" w:eastAsia="仿宋_GB2312" w:cs="仿宋_GB2312"/>
          <w:sz w:val="32"/>
          <w:szCs w:val="32"/>
          <w:lang w:val="en-US" w:eastAsia="zh-CN"/>
        </w:rPr>
        <w:t>常州</w:t>
      </w:r>
      <w:r>
        <w:rPr>
          <w:rFonts w:hint="eastAsia" w:ascii="仿宋_GB2312" w:hAnsi="仿宋_GB2312" w:eastAsia="仿宋_GB2312" w:cs="仿宋_GB2312"/>
          <w:sz w:val="32"/>
          <w:szCs w:val="32"/>
        </w:rPr>
        <w:t>市</w:t>
      </w:r>
      <w:r>
        <w:rPr>
          <w:rFonts w:hint="eastAsia" w:ascii="仿宋_GB2312" w:hAnsi="仿宋_GB2312" w:eastAsia="仿宋_GB2312" w:cs="仿宋_GB2312"/>
          <w:sz w:val="32"/>
          <w:szCs w:val="32"/>
          <w:lang w:val="en-US" w:eastAsia="zh-CN"/>
        </w:rPr>
        <w:t>经开区横林实验初级中学</w:t>
      </w:r>
      <w:r>
        <w:rPr>
          <w:rFonts w:hint="eastAsia" w:ascii="仿宋_GB2312" w:hAnsi="仿宋_GB2312" w:eastAsia="仿宋_GB2312" w:cs="仿宋_GB2312"/>
          <w:sz w:val="32"/>
          <w:szCs w:val="32"/>
        </w:rPr>
        <w:t>进行了现场评估。现将现场评估工作情况及工作意见报告如下：</w:t>
      </w:r>
    </w:p>
    <w:p w14:paraId="307517CC">
      <w:pPr>
        <w:keepNext w:val="0"/>
        <w:keepLines w:val="0"/>
        <w:pageBreakBefore w:val="0"/>
        <w:widowControl/>
        <w:kinsoku/>
        <w:wordWrap/>
        <w:overflowPunct/>
        <w:topLinePunct w:val="0"/>
        <w:autoSpaceDE/>
        <w:autoSpaceDN/>
        <w:bidi w:val="0"/>
        <w:adjustRightInd/>
        <w:spacing w:line="57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一、评估概况</w:t>
      </w:r>
    </w:p>
    <w:p w14:paraId="11706A49">
      <w:pPr>
        <w:keepNext w:val="0"/>
        <w:keepLines w:val="0"/>
        <w:pageBreakBefore w:val="0"/>
        <w:widowControl/>
        <w:kinsoku/>
        <w:wordWrap/>
        <w:overflowPunct/>
        <w:topLinePunct w:val="0"/>
        <w:autoSpaceDE/>
        <w:autoSpaceDN/>
        <w:bidi w:val="0"/>
        <w:adjustRightInd/>
        <w:spacing w:line="570" w:lineRule="exact"/>
        <w:ind w:firstLine="640" w:firstLineChars="200"/>
        <w:jc w:val="both"/>
        <w:textAlignment w:val="auto"/>
        <w:rPr>
          <w:rFonts w:hint="eastAsia" w:ascii="仿宋_GB2312" w:hAnsi="仿宋_GB2312" w:eastAsia="仿宋_GB2312" w:cs="仿宋_GB2312"/>
          <w:b/>
          <w:bCs/>
          <w:sz w:val="32"/>
          <w:szCs w:val="32"/>
        </w:rPr>
      </w:pPr>
      <w:r>
        <w:rPr>
          <w:rFonts w:hint="default" w:ascii="Times New Roman" w:hAnsi="Times New Roman" w:eastAsia="仿宋_GB2312" w:cs="Times New Roman"/>
          <w:sz w:val="32"/>
          <w:szCs w:val="32"/>
          <w:lang w:val="en-US" w:eastAsia="zh-CN"/>
        </w:rPr>
        <w:t>2024年11月21日，经</w:t>
      </w:r>
      <w:r>
        <w:rPr>
          <w:rFonts w:hint="default" w:ascii="Times New Roman" w:hAnsi="Times New Roman" w:eastAsia="仿宋_GB2312" w:cs="Times New Roman"/>
          <w:sz w:val="32"/>
          <w:szCs w:val="32"/>
        </w:rPr>
        <w:t>开区社会事业局组织常州市优质学校评估组一行5人，对</w:t>
      </w:r>
      <w:r>
        <w:rPr>
          <w:rFonts w:hint="default" w:ascii="Times New Roman" w:hAnsi="Times New Roman" w:eastAsia="仿宋_GB2312" w:cs="Times New Roman"/>
          <w:bCs/>
          <w:sz w:val="32"/>
          <w:szCs w:val="32"/>
        </w:rPr>
        <w:t>常</w:t>
      </w:r>
      <w:r>
        <w:rPr>
          <w:rFonts w:hint="eastAsia" w:ascii="仿宋_GB2312" w:hAnsi="仿宋_GB2312" w:eastAsia="仿宋_GB2312" w:cs="仿宋_GB2312"/>
          <w:bCs/>
          <w:sz w:val="32"/>
          <w:szCs w:val="32"/>
        </w:rPr>
        <w:t>州经开区</w:t>
      </w:r>
      <w:r>
        <w:rPr>
          <w:rFonts w:hint="eastAsia" w:ascii="仿宋_GB2312" w:hAnsi="仿宋_GB2312" w:eastAsia="仿宋_GB2312" w:cs="仿宋_GB2312"/>
          <w:bCs/>
          <w:sz w:val="32"/>
          <w:szCs w:val="32"/>
          <w:lang w:val="en-US" w:eastAsia="zh-CN"/>
        </w:rPr>
        <w:t>横林实验初级中学</w:t>
      </w:r>
      <w:r>
        <w:rPr>
          <w:rFonts w:hint="eastAsia" w:ascii="仿宋_GB2312" w:hAnsi="仿宋_GB2312" w:eastAsia="仿宋_GB2312" w:cs="仿宋_GB2312"/>
          <w:bCs/>
          <w:sz w:val="32"/>
          <w:szCs w:val="32"/>
        </w:rPr>
        <w:t>进行常州市优质学校创建评估</w:t>
      </w:r>
      <w:r>
        <w:rPr>
          <w:rFonts w:hint="eastAsia" w:ascii="仿宋_GB2312" w:hAnsi="仿宋_GB2312" w:eastAsia="仿宋_GB2312" w:cs="仿宋_GB2312"/>
          <w:sz w:val="32"/>
          <w:szCs w:val="32"/>
        </w:rPr>
        <w:t>。评估组严格按照评估规程，听取了校长</w:t>
      </w:r>
      <w:r>
        <w:rPr>
          <w:rFonts w:hint="eastAsia" w:ascii="仿宋_GB2312" w:hAnsi="仿宋_GB2312" w:eastAsia="仿宋_GB2312" w:cs="仿宋_GB2312"/>
          <w:sz w:val="32"/>
          <w:szCs w:val="32"/>
          <w:lang w:val="en-US" w:eastAsia="zh-CN"/>
        </w:rPr>
        <w:t>项学军</w:t>
      </w:r>
      <w:r>
        <w:rPr>
          <w:rFonts w:hint="eastAsia" w:ascii="仿宋_GB2312" w:hAnsi="仿宋_GB2312" w:eastAsia="仿宋_GB2312" w:cs="仿宋_GB2312"/>
          <w:sz w:val="32"/>
          <w:szCs w:val="32"/>
        </w:rPr>
        <w:t>题为《</w:t>
      </w:r>
      <w:r>
        <w:rPr>
          <w:rFonts w:hint="eastAsia" w:ascii="仿宋_GB2312" w:hAnsi="仿宋_GB2312" w:eastAsia="仿宋_GB2312" w:cs="仿宋_GB2312"/>
          <w:sz w:val="32"/>
          <w:szCs w:val="32"/>
          <w:lang w:val="en-US" w:eastAsia="zh-CN"/>
        </w:rPr>
        <w:t>以悦享之心  达优质之境</w:t>
      </w:r>
      <w:r>
        <w:rPr>
          <w:rFonts w:hint="eastAsia" w:ascii="仿宋_GB2312" w:hAnsi="仿宋_GB2312" w:eastAsia="仿宋_GB2312" w:cs="仿宋_GB2312"/>
          <w:sz w:val="32"/>
          <w:szCs w:val="32"/>
        </w:rPr>
        <w:t>》的自评报告，并就有关问题与学校领导进行了深入交流；随堂听课</w:t>
      </w:r>
      <w:r>
        <w:rPr>
          <w:rFonts w:hint="default" w:ascii="Times New Roman" w:hAnsi="Times New Roman" w:eastAsia="仿宋_GB2312" w:cs="Times New Roman"/>
          <w:sz w:val="32"/>
          <w:szCs w:val="32"/>
        </w:rPr>
        <w:t>10节，基本覆盖各学科，优良率为100%；察看了校容校貌、设施设备；观看了学生大课间、社团活动；与10位领导、教师以及</w:t>
      </w:r>
      <w:r>
        <w:rPr>
          <w:rFonts w:hint="default" w:ascii="Times New Roman" w:hAnsi="Times New Roman" w:eastAsia="仿宋_GB2312" w:cs="Times New Roman"/>
          <w:sz w:val="32"/>
          <w:szCs w:val="32"/>
          <w:lang w:val="en-US" w:eastAsia="zh-CN"/>
        </w:rPr>
        <w:t>15</w:t>
      </w:r>
      <w:r>
        <w:rPr>
          <w:rFonts w:hint="default" w:ascii="Times New Roman" w:hAnsi="Times New Roman" w:eastAsia="仿宋_GB2312" w:cs="Times New Roman"/>
          <w:sz w:val="32"/>
          <w:szCs w:val="32"/>
        </w:rPr>
        <w:t>位学生进</w:t>
      </w:r>
      <w:r>
        <w:rPr>
          <w:rFonts w:hint="eastAsia" w:ascii="仿宋_GB2312" w:hAnsi="仿宋_GB2312" w:eastAsia="仿宋_GB2312" w:cs="仿宋_GB2312"/>
          <w:sz w:val="32"/>
          <w:szCs w:val="32"/>
        </w:rPr>
        <w:t>行个别访谈；查阅了学校各项工作的台帐资料；对教师、学生进行了访谈；参加了教师沙龙，深度剖析了</w:t>
      </w:r>
      <w:r>
        <w:rPr>
          <w:rFonts w:hint="eastAsia" w:ascii="仿宋_GB2312" w:hAnsi="仿宋_GB2312" w:eastAsia="仿宋_GB2312" w:cs="仿宋_GB2312"/>
          <w:sz w:val="32"/>
          <w:szCs w:val="32"/>
          <w:lang w:val="en-US" w:eastAsia="zh-CN"/>
        </w:rPr>
        <w:t>语文</w:t>
      </w:r>
      <w:r>
        <w:rPr>
          <w:rFonts w:hint="eastAsia" w:ascii="仿宋_GB2312" w:hAnsi="仿宋_GB2312" w:eastAsia="仿宋_GB2312" w:cs="仿宋_GB2312"/>
          <w:sz w:val="32"/>
          <w:szCs w:val="32"/>
        </w:rPr>
        <w:t>教研组；评估组成员进行了评议与汇总，形成了评估报告稿。对学校行政班子进行了评估情况的小反馈，对经开区社会事业局及学校领导班子进行了评估情况的总体反馈。</w:t>
      </w:r>
    </w:p>
    <w:p w14:paraId="689501A5">
      <w:pPr>
        <w:keepNext w:val="0"/>
        <w:keepLines w:val="0"/>
        <w:pageBreakBefore w:val="0"/>
        <w:widowControl/>
        <w:kinsoku/>
        <w:wordWrap/>
        <w:overflowPunct/>
        <w:topLinePunct w:val="0"/>
        <w:autoSpaceDE/>
        <w:autoSpaceDN/>
        <w:bidi w:val="0"/>
        <w:adjustRightInd/>
        <w:spacing w:line="57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二、总体评价</w:t>
      </w:r>
    </w:p>
    <w:p w14:paraId="7A8E2A85">
      <w:pPr>
        <w:keepNext w:val="0"/>
        <w:keepLines w:val="0"/>
        <w:pageBreakBefore w:val="0"/>
        <w:kinsoku/>
        <w:wordWrap/>
        <w:overflowPunct/>
        <w:topLinePunct w:val="0"/>
        <w:autoSpaceDE/>
        <w:autoSpaceDN/>
        <w:bidi w:val="0"/>
        <w:adjustRightInd/>
        <w:spacing w:line="570" w:lineRule="exact"/>
        <w:ind w:firstLine="640" w:firstLineChars="200"/>
        <w:jc w:val="both"/>
        <w:textAlignment w:val="auto"/>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rPr>
        <w:t>常州经开区</w:t>
      </w:r>
      <w:r>
        <w:rPr>
          <w:rFonts w:hint="default" w:ascii="Times New Roman" w:hAnsi="Times New Roman" w:eastAsia="仿宋_GB2312" w:cs="Times New Roman"/>
          <w:sz w:val="32"/>
          <w:szCs w:val="32"/>
          <w:lang w:val="en-US" w:eastAsia="zh-CN"/>
        </w:rPr>
        <w:t>横林实验初级中学</w:t>
      </w:r>
      <w:r>
        <w:rPr>
          <w:rFonts w:hint="default" w:ascii="Times New Roman" w:hAnsi="Times New Roman" w:eastAsia="仿宋_GB2312" w:cs="Times New Roman"/>
          <w:sz w:val="32"/>
          <w:szCs w:val="32"/>
        </w:rPr>
        <w:t>成立于20</w:t>
      </w:r>
      <w:r>
        <w:rPr>
          <w:rFonts w:hint="default" w:ascii="Times New Roman" w:hAnsi="Times New Roman" w:eastAsia="仿宋_GB2312" w:cs="Times New Roman"/>
          <w:sz w:val="32"/>
          <w:szCs w:val="32"/>
          <w:lang w:val="en-US" w:eastAsia="zh-CN"/>
        </w:rPr>
        <w:t>22</w:t>
      </w:r>
      <w:r>
        <w:rPr>
          <w:rFonts w:hint="default" w:ascii="Times New Roman" w:hAnsi="Times New Roman" w:eastAsia="仿宋_GB2312" w:cs="Times New Roman"/>
          <w:sz w:val="32"/>
          <w:szCs w:val="32"/>
        </w:rPr>
        <w:t>年。学校占地面积共28468平方米，建筑面积共29326平方米，绿化面积14237平方米，</w:t>
      </w:r>
      <w:r>
        <w:rPr>
          <w:rFonts w:hint="default" w:ascii="Times New Roman" w:hAnsi="Times New Roman" w:eastAsia="仿宋_GB2312" w:cs="Times New Roman"/>
          <w:sz w:val="32"/>
          <w:szCs w:val="32"/>
          <w:lang w:val="en-US" w:eastAsia="zh-CN"/>
        </w:rPr>
        <w:t>运动场地面积9120平方米，教学区、运动区、生活区相对分开，校园环境整洁优美，布局科学合理，富有江南建筑特色。</w:t>
      </w:r>
      <w:r>
        <w:rPr>
          <w:rFonts w:hint="default" w:ascii="Times New Roman" w:hAnsi="Times New Roman" w:eastAsia="仿宋_GB2312" w:cs="Times New Roman"/>
          <w:sz w:val="32"/>
          <w:szCs w:val="32"/>
        </w:rPr>
        <w:t>目前，学校共有</w:t>
      </w:r>
      <w:r>
        <w:rPr>
          <w:rFonts w:hint="default" w:ascii="Times New Roman" w:hAnsi="Times New Roman" w:eastAsia="仿宋_GB2312" w:cs="Times New Roman"/>
          <w:sz w:val="32"/>
          <w:szCs w:val="32"/>
          <w:lang w:val="en-US" w:eastAsia="zh-CN"/>
        </w:rPr>
        <w:t>20</w:t>
      </w:r>
      <w:r>
        <w:rPr>
          <w:rFonts w:hint="default" w:ascii="Times New Roman" w:hAnsi="Times New Roman" w:eastAsia="仿宋_GB2312" w:cs="Times New Roman"/>
          <w:sz w:val="32"/>
          <w:szCs w:val="32"/>
        </w:rPr>
        <w:t>个教学班，</w:t>
      </w:r>
      <w:r>
        <w:rPr>
          <w:rFonts w:hint="default" w:ascii="Times New Roman" w:hAnsi="Times New Roman" w:eastAsia="仿宋_GB2312" w:cs="Times New Roman"/>
          <w:sz w:val="32"/>
          <w:szCs w:val="32"/>
          <w:lang w:val="en-US" w:eastAsia="zh-CN"/>
        </w:rPr>
        <w:t>865</w:t>
      </w:r>
      <w:r>
        <w:rPr>
          <w:rFonts w:hint="default" w:ascii="Times New Roman" w:hAnsi="Times New Roman" w:eastAsia="仿宋_GB2312" w:cs="Times New Roman"/>
          <w:sz w:val="32"/>
          <w:szCs w:val="32"/>
        </w:rPr>
        <w:t>名学生；全校</w:t>
      </w:r>
      <w:r>
        <w:rPr>
          <w:rFonts w:hint="default" w:ascii="Times New Roman" w:hAnsi="Times New Roman" w:eastAsia="仿宋_GB2312" w:cs="Times New Roman"/>
          <w:sz w:val="32"/>
          <w:szCs w:val="32"/>
          <w:lang w:val="en-US" w:eastAsia="zh-CN"/>
        </w:rPr>
        <w:t>73</w:t>
      </w:r>
      <w:r>
        <w:rPr>
          <w:rFonts w:hint="default" w:ascii="Times New Roman" w:hAnsi="Times New Roman" w:eastAsia="仿宋_GB2312" w:cs="Times New Roman"/>
          <w:sz w:val="32"/>
          <w:szCs w:val="32"/>
        </w:rPr>
        <w:t>名专职教师中，中高级职称教师</w:t>
      </w:r>
      <w:r>
        <w:rPr>
          <w:rFonts w:hint="default" w:ascii="Times New Roman" w:hAnsi="Times New Roman" w:eastAsia="仿宋_GB2312" w:cs="Times New Roman"/>
          <w:sz w:val="32"/>
          <w:szCs w:val="32"/>
          <w:lang w:val="en-US" w:eastAsia="zh-CN"/>
        </w:rPr>
        <w:t>31</w:t>
      </w:r>
      <w:r>
        <w:rPr>
          <w:rFonts w:hint="default" w:ascii="Times New Roman" w:hAnsi="Times New Roman" w:eastAsia="仿宋_GB2312" w:cs="Times New Roman"/>
          <w:sz w:val="32"/>
          <w:szCs w:val="32"/>
        </w:rPr>
        <w:t>人；市、区级 “五级梯队”教师</w:t>
      </w:r>
      <w:r>
        <w:rPr>
          <w:rFonts w:hint="default" w:ascii="Times New Roman" w:hAnsi="Times New Roman" w:eastAsia="仿宋_GB2312" w:cs="Times New Roman"/>
          <w:sz w:val="32"/>
          <w:szCs w:val="32"/>
          <w:lang w:val="en-US" w:eastAsia="zh-CN"/>
        </w:rPr>
        <w:t>27</w:t>
      </w:r>
      <w:r>
        <w:rPr>
          <w:rFonts w:hint="default" w:ascii="Times New Roman" w:hAnsi="Times New Roman" w:eastAsia="仿宋_GB2312" w:cs="Times New Roman"/>
          <w:sz w:val="32"/>
          <w:szCs w:val="32"/>
        </w:rPr>
        <w:t>名</w:t>
      </w:r>
      <w:r>
        <w:rPr>
          <w:rFonts w:hint="default" w:ascii="Times New Roman" w:hAnsi="Times New Roman" w:eastAsia="仿宋_GB2312" w:cs="Times New Roman"/>
          <w:sz w:val="32"/>
          <w:szCs w:val="32"/>
          <w:lang w:val="en-US" w:eastAsia="zh-CN"/>
        </w:rPr>
        <w:t>。三年来，学校有57人次在省、市、</w:t>
      </w:r>
      <w:r>
        <w:rPr>
          <w:rFonts w:hint="eastAsia" w:ascii="仿宋_GB2312" w:hAnsi="仿宋_GB2312" w:eastAsia="仿宋_GB2312" w:cs="仿宋_GB2312"/>
          <w:sz w:val="32"/>
          <w:szCs w:val="32"/>
          <w:lang w:val="en-US" w:eastAsia="zh-CN"/>
        </w:rPr>
        <w:t>区级课堂教学或基本功竞赛等活动中获一、二等奖。学</w:t>
      </w:r>
      <w:r>
        <w:rPr>
          <w:rFonts w:hint="eastAsia" w:ascii="仿宋_GB2312" w:hAnsi="仿宋_GB2312" w:eastAsia="仿宋_GB2312" w:cs="仿宋_GB2312"/>
          <w:sz w:val="32"/>
          <w:szCs w:val="32"/>
        </w:rPr>
        <w:t>校与武进区横林初级中学集团化办学、一体化管理。学校秉承“快乐学习，善于分享”的办学理念，秉承“博学笃志，立己达人”的校训，逐步形成“友善、乐观、进取、务实”的校风，广大教师以“宽和、广博、崇德、善导”为追求，努力培养学生“明志、修德、乐学、善享”的学习风气，逐步成为老百姓家门口的优质学校。</w:t>
      </w:r>
    </w:p>
    <w:p w14:paraId="1299A8CF">
      <w:pPr>
        <w:keepNext w:val="0"/>
        <w:keepLines w:val="0"/>
        <w:pageBreakBefore w:val="0"/>
        <w:widowControl/>
        <w:kinsoku/>
        <w:wordWrap/>
        <w:overflowPunct/>
        <w:topLinePunct w:val="0"/>
        <w:autoSpaceDE/>
        <w:autoSpaceDN/>
        <w:bidi w:val="0"/>
        <w:adjustRightInd/>
        <w:spacing w:line="570" w:lineRule="exact"/>
        <w:ind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三、</w:t>
      </w:r>
      <w:r>
        <w:rPr>
          <w:rFonts w:hint="eastAsia" w:ascii="黑体" w:hAnsi="黑体" w:eastAsia="黑体" w:cs="黑体"/>
          <w:b w:val="0"/>
          <w:bCs w:val="0"/>
          <w:sz w:val="32"/>
          <w:szCs w:val="32"/>
        </w:rPr>
        <w:t>主要成绩和亮点</w:t>
      </w:r>
    </w:p>
    <w:p w14:paraId="59C62730">
      <w:pPr>
        <w:keepNext w:val="0"/>
        <w:keepLines w:val="0"/>
        <w:pageBreakBefore w:val="0"/>
        <w:numPr>
          <w:ilvl w:val="0"/>
          <w:numId w:val="0"/>
        </w:numPr>
        <w:kinsoku/>
        <w:wordWrap/>
        <w:overflowPunct/>
        <w:topLinePunct w:val="0"/>
        <w:autoSpaceDE/>
        <w:autoSpaceDN/>
        <w:bidi w:val="0"/>
        <w:adjustRightInd/>
        <w:snapToGrid w:val="0"/>
        <w:spacing w:line="570" w:lineRule="exact"/>
        <w:ind w:firstLine="643" w:firstLineChars="200"/>
        <w:jc w:val="both"/>
        <w:textAlignment w:val="auto"/>
        <w:rPr>
          <w:rFonts w:hint="default" w:ascii="Times New Roman" w:hAnsi="Times New Roman" w:eastAsia="楷体_GB2312" w:cs="Times New Roman"/>
          <w:b/>
          <w:bCs w:val="0"/>
          <w:sz w:val="32"/>
          <w:szCs w:val="32"/>
          <w:lang w:val="en-US" w:eastAsia="zh-CN"/>
        </w:rPr>
      </w:pPr>
      <w:r>
        <w:rPr>
          <w:rFonts w:hint="default" w:ascii="Times New Roman" w:hAnsi="Times New Roman" w:eastAsia="楷体_GB2312" w:cs="Times New Roman"/>
          <w:b/>
          <w:bCs w:val="0"/>
          <w:sz w:val="32"/>
          <w:szCs w:val="32"/>
          <w:lang w:val="en-US" w:eastAsia="zh-CN"/>
        </w:rPr>
        <w:t>1. 管理文化，在建章立制中守正创新</w:t>
      </w:r>
    </w:p>
    <w:p w14:paraId="348E6494">
      <w:pPr>
        <w:pStyle w:val="2"/>
        <w:keepNext w:val="0"/>
        <w:keepLines w:val="0"/>
        <w:pageBreakBefore w:val="0"/>
        <w:widowControl/>
        <w:kinsoku/>
        <w:wordWrap/>
        <w:overflowPunct/>
        <w:topLinePunct w:val="0"/>
        <w:autoSpaceDE/>
        <w:autoSpaceDN/>
        <w:bidi w:val="0"/>
        <w:adjustRightInd/>
        <w:snapToGrid/>
        <w:spacing w:line="57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kern w:val="2"/>
          <w:sz w:val="32"/>
          <w:szCs w:val="32"/>
          <w:lang w:val="en-US" w:eastAsia="zh-CN" w:bidi="ar-SA"/>
        </w:rPr>
        <w:t>建校以来，学校依托集团化管理，坚持以人为本、依法治校的管理理念，不断健全新校的管理制度，完善精细化管理流程，形成职责分明、运行顺畅、执行有力的高效的学校管理运作机制，使学校管理水平不断提高，各项工作规范有序，精细扎实。学校党支部及行政坚持贯彻民主集中制原则和“三重一大”决策制度，民主商讨学校发展重大事项。学校始终把制定和实施三年主动发展规划当作学校的重点工作，并将整体规划在年度与学期计划中进行分解，与学校各项工作融通整合，实现系统谋划，全面推进。学校以《常州经开区横林实验初级中学学校章程》为依据，不断完善各项规章制度，先后修订和完善了《横林初中教育集团奖励性绩效工资发放办法》《横林初中教育集团教师师德规范考核细则》《横林初中教育集团专项绩效考核及发放办法》《横林实验初级中学</w:t>
      </w:r>
      <w:r>
        <w:rPr>
          <w:rFonts w:hint="default" w:ascii="Times New Roman" w:hAnsi="Times New Roman" w:eastAsia="仿宋_GB2312" w:cs="Times New Roman"/>
          <w:color w:val="auto"/>
          <w:kern w:val="2"/>
          <w:sz w:val="32"/>
          <w:szCs w:val="32"/>
          <w:lang w:val="en-US" w:eastAsia="zh-CN" w:bidi="ar-SA"/>
        </w:rPr>
        <w:t>2023-2026年主</w:t>
      </w:r>
      <w:r>
        <w:rPr>
          <w:rFonts w:hint="eastAsia" w:ascii="仿宋_GB2312" w:hAnsi="仿宋_GB2312" w:eastAsia="仿宋_GB2312" w:cs="仿宋_GB2312"/>
          <w:color w:val="auto"/>
          <w:kern w:val="2"/>
          <w:sz w:val="32"/>
          <w:szCs w:val="32"/>
          <w:lang w:val="en-US" w:eastAsia="zh-CN" w:bidi="ar-SA"/>
        </w:rPr>
        <w:t>动发展规划》等规章制度。学校发动广大教师参与学校建设，推进学校民主管理进程。学校严格按照上级主管部门的要求，制定招生方案，规范招生管理，实行免试就近入学。学校坚持实行均衡分班，确保平行班的班额、师资相对均衡，不以任何形式设置重点班，积极接纳新市民子女入学。学校严格按照课程计划开齐开足各类课程。严格控制学生在校时间，作息时间表上墙上网。保证学生每天</w:t>
      </w:r>
      <w:r>
        <w:rPr>
          <w:rFonts w:hint="default" w:ascii="Times New Roman" w:hAnsi="Times New Roman" w:eastAsia="仿宋_GB2312" w:cs="Times New Roman"/>
          <w:color w:val="auto"/>
          <w:kern w:val="2"/>
          <w:sz w:val="32"/>
          <w:szCs w:val="32"/>
          <w:lang w:val="en-US" w:eastAsia="zh-CN" w:bidi="ar-SA"/>
        </w:rPr>
        <w:t>有1小</w:t>
      </w:r>
      <w:r>
        <w:rPr>
          <w:rFonts w:hint="eastAsia" w:ascii="仿宋_GB2312" w:hAnsi="仿宋_GB2312" w:eastAsia="仿宋_GB2312" w:cs="仿宋_GB2312"/>
          <w:color w:val="auto"/>
          <w:kern w:val="2"/>
          <w:sz w:val="32"/>
          <w:szCs w:val="32"/>
          <w:lang w:val="en-US" w:eastAsia="zh-CN" w:bidi="ar-SA"/>
        </w:rPr>
        <w:t>时的体育活动时间，开展“阳光体育”活动，并将课程计划执行情况纳入常规检查内容。学校定期开展师德师风建设活动，加强党员干部教师的廉洁从教教育，规范教师从教行为。通过召开各类会议，加强师德师风建设，坚决杜绝节假日集体补课、有偿补课等现象。严格执行作业量控制方案，实施每日作业公示制度和巡查制度，注重书面作业与实践类作业相结合，切实减轻学生过重的课业负担，聚焦学生核心素养的培养。</w:t>
      </w:r>
    </w:p>
    <w:p w14:paraId="210D4522">
      <w:pPr>
        <w:keepNext w:val="0"/>
        <w:keepLines w:val="0"/>
        <w:pageBreakBefore w:val="0"/>
        <w:numPr>
          <w:ilvl w:val="0"/>
          <w:numId w:val="0"/>
        </w:numPr>
        <w:kinsoku/>
        <w:wordWrap/>
        <w:overflowPunct/>
        <w:topLinePunct w:val="0"/>
        <w:autoSpaceDE/>
        <w:autoSpaceDN/>
        <w:bidi w:val="0"/>
        <w:adjustRightInd/>
        <w:snapToGrid w:val="0"/>
        <w:spacing w:line="570" w:lineRule="exact"/>
        <w:ind w:firstLine="643" w:firstLineChars="200"/>
        <w:jc w:val="both"/>
        <w:textAlignment w:val="auto"/>
        <w:rPr>
          <w:rFonts w:hint="eastAsia" w:ascii="Times New Roman" w:hAnsi="Times New Roman" w:eastAsia="楷体_GB2312" w:cs="Times New Roman"/>
          <w:b/>
          <w:bCs w:val="0"/>
          <w:sz w:val="32"/>
          <w:szCs w:val="32"/>
          <w:lang w:val="en-US" w:eastAsia="zh-CN"/>
        </w:rPr>
      </w:pPr>
      <w:r>
        <w:rPr>
          <w:rFonts w:hint="eastAsia" w:ascii="Times New Roman" w:hAnsi="Times New Roman" w:eastAsia="楷体_GB2312" w:cs="Times New Roman"/>
          <w:b/>
          <w:bCs w:val="0"/>
          <w:sz w:val="32"/>
          <w:szCs w:val="32"/>
          <w:lang w:val="en-US" w:eastAsia="zh-CN"/>
        </w:rPr>
        <w:t>2.办学条件，在标准建设中品质彰显</w:t>
      </w:r>
    </w:p>
    <w:p w14:paraId="7C12AD89">
      <w:pPr>
        <w:pStyle w:val="2"/>
        <w:keepNext w:val="0"/>
        <w:keepLines w:val="0"/>
        <w:pageBreakBefore w:val="0"/>
        <w:widowControl/>
        <w:kinsoku/>
        <w:wordWrap/>
        <w:overflowPunct/>
        <w:topLinePunct w:val="0"/>
        <w:autoSpaceDE/>
        <w:autoSpaceDN/>
        <w:bidi w:val="0"/>
        <w:adjustRightInd/>
        <w:snapToGrid/>
        <w:spacing w:line="570" w:lineRule="exact"/>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学校按照《江苏省义务教育学校办学标准（试行）》规定的校园建设标准建设，生均占</w:t>
      </w:r>
      <w:r>
        <w:rPr>
          <w:rFonts w:hint="default" w:ascii="Times New Roman" w:hAnsi="Times New Roman" w:eastAsia="仿宋_GB2312" w:cs="Times New Roman"/>
          <w:color w:val="auto"/>
          <w:kern w:val="2"/>
          <w:sz w:val="32"/>
          <w:szCs w:val="32"/>
          <w:lang w:val="en-US" w:eastAsia="zh-CN" w:bidi="ar-SA"/>
        </w:rPr>
        <w:t>地面积33.1</w:t>
      </w:r>
      <w:r>
        <w:rPr>
          <w:rFonts w:hint="eastAsia" w:ascii="Times New Roman" w:hAnsi="Times New Roman" w:eastAsia="仿宋_GB2312" w:cs="Times New Roman"/>
          <w:color w:val="auto"/>
          <w:kern w:val="2"/>
          <w:sz w:val="32"/>
          <w:szCs w:val="32"/>
          <w:lang w:val="en-US" w:eastAsia="zh-CN" w:bidi="ar-SA"/>
        </w:rPr>
        <w:t>平方米</w:t>
      </w:r>
      <w:r>
        <w:rPr>
          <w:rFonts w:hint="default" w:ascii="Times New Roman" w:hAnsi="Times New Roman" w:eastAsia="仿宋_GB2312" w:cs="Times New Roman"/>
          <w:color w:val="auto"/>
          <w:kern w:val="2"/>
          <w:sz w:val="32"/>
          <w:szCs w:val="32"/>
          <w:lang w:val="en-US" w:eastAsia="zh-CN" w:bidi="ar-SA"/>
        </w:rPr>
        <w:t>、生均建筑面积34.5</w:t>
      </w:r>
      <w:r>
        <w:rPr>
          <w:rFonts w:hint="eastAsia" w:ascii="Times New Roman" w:hAnsi="Times New Roman" w:eastAsia="仿宋_GB2312" w:cs="Times New Roman"/>
          <w:color w:val="auto"/>
          <w:kern w:val="2"/>
          <w:sz w:val="32"/>
          <w:szCs w:val="32"/>
          <w:lang w:val="en-US" w:eastAsia="zh-CN" w:bidi="ar-SA"/>
        </w:rPr>
        <w:t>平方米</w:t>
      </w:r>
      <w:r>
        <w:rPr>
          <w:rFonts w:hint="default" w:ascii="Times New Roman" w:hAnsi="Times New Roman" w:eastAsia="仿宋_GB2312" w:cs="Times New Roman"/>
          <w:color w:val="auto"/>
          <w:kern w:val="2"/>
          <w:sz w:val="32"/>
          <w:szCs w:val="32"/>
          <w:lang w:val="en-US" w:eastAsia="zh-CN" w:bidi="ar-SA"/>
        </w:rPr>
        <w:t>,生均运动场地达10.5</w:t>
      </w:r>
      <w:r>
        <w:rPr>
          <w:rFonts w:hint="eastAsia" w:ascii="Times New Roman" w:hAnsi="Times New Roman" w:eastAsia="仿宋_GB2312" w:cs="Times New Roman"/>
          <w:color w:val="auto"/>
          <w:kern w:val="2"/>
          <w:sz w:val="32"/>
          <w:szCs w:val="32"/>
          <w:lang w:val="en-US" w:eastAsia="zh-CN" w:bidi="ar-SA"/>
        </w:rPr>
        <w:t>平方米</w:t>
      </w:r>
      <w:r>
        <w:rPr>
          <w:rFonts w:hint="default" w:ascii="Times New Roman" w:hAnsi="Times New Roman" w:eastAsia="仿宋_GB2312" w:cs="Times New Roman"/>
          <w:color w:val="auto"/>
          <w:kern w:val="2"/>
          <w:sz w:val="32"/>
          <w:szCs w:val="32"/>
          <w:lang w:val="en-US" w:eastAsia="zh-CN" w:bidi="ar-SA"/>
        </w:rPr>
        <w:t>，各类运动场地的数</w:t>
      </w:r>
      <w:r>
        <w:rPr>
          <w:rFonts w:hint="eastAsia" w:ascii="仿宋_GB2312" w:hAnsi="仿宋_GB2312" w:eastAsia="仿宋_GB2312" w:cs="仿宋_GB2312"/>
          <w:color w:val="auto"/>
          <w:kern w:val="2"/>
          <w:sz w:val="32"/>
          <w:szCs w:val="32"/>
          <w:lang w:val="en-US" w:eastAsia="zh-CN" w:bidi="ar-SA"/>
        </w:rPr>
        <w:t>量和面积均达到规定要求。</w:t>
      </w:r>
      <w:r>
        <w:rPr>
          <w:rFonts w:hint="default" w:ascii="Times New Roman" w:hAnsi="Times New Roman" w:eastAsia="仿宋_GB2312" w:cs="Times New Roman"/>
          <w:color w:val="auto"/>
          <w:kern w:val="2"/>
          <w:sz w:val="32"/>
          <w:szCs w:val="32"/>
          <w:lang w:val="en-US" w:eastAsia="zh-CN" w:bidi="ar-SA"/>
        </w:rPr>
        <w:t>学校有普通教室42个，机动教室3个，专用室35个，普通教室及专用室面积、辅助用房的配置和使用面积、图书馆的</w:t>
      </w:r>
      <w:r>
        <w:rPr>
          <w:rFonts w:hint="eastAsia" w:ascii="仿宋_GB2312" w:hAnsi="仿宋_GB2312" w:eastAsia="仿宋_GB2312" w:cs="仿宋_GB2312"/>
          <w:color w:val="auto"/>
          <w:kern w:val="2"/>
          <w:sz w:val="32"/>
          <w:szCs w:val="32"/>
          <w:lang w:val="en-US" w:eastAsia="zh-CN" w:bidi="ar-SA"/>
        </w:rPr>
        <w:t>装备标准均达标。学校教育装备建设按《江苏省中小学教育技术装备标准》Ⅰ类标准配置。学校所有教室及专用室均配备了希沃交互式电子白板及多媒体教学系统，对监控、视频直播等实现网络化管理。学校400人报告厅、会议室、多功能教室、智能录播教室、班级电子班牌等相继落成。学校的网络中心、投影设备、广播系统、监控系统经过整合设计，形成了集交互、直播、远程管理等为一体的智慧校园融合系统，</w:t>
      </w:r>
      <w:r>
        <w:rPr>
          <w:rFonts w:hint="default" w:ascii="Times New Roman" w:hAnsi="Times New Roman" w:eastAsia="仿宋_GB2312" w:cs="Times New Roman"/>
          <w:color w:val="auto"/>
          <w:kern w:val="2"/>
          <w:sz w:val="32"/>
          <w:szCs w:val="32"/>
          <w:lang w:val="en-US" w:eastAsia="zh-CN" w:bidi="ar-SA"/>
        </w:rPr>
        <w:t>IP</w:t>
      </w:r>
      <w:r>
        <w:rPr>
          <w:rFonts w:hint="eastAsia" w:ascii="仿宋_GB2312" w:hAnsi="仿宋_GB2312" w:eastAsia="仿宋_GB2312" w:cs="仿宋_GB2312"/>
          <w:color w:val="auto"/>
          <w:kern w:val="2"/>
          <w:sz w:val="32"/>
          <w:szCs w:val="32"/>
          <w:lang w:val="en-US" w:eastAsia="zh-CN" w:bidi="ar-SA"/>
        </w:rPr>
        <w:t>数字广播和校园监控系统进行了一体化建设；学校与江南银行横林支行合作，依托银行提供的一体化的智慧校园解决方案，推进多层次、创新型、开放式的数字化、信息化校园建设。学校安全管理制度健全，应急预案体系完备，每月定期组织开展防疫、地震逃生等演练活动和自护自救安全教育。家校联合强化学生安全平台相关知识的学习，完成</w:t>
      </w:r>
      <w:r>
        <w:rPr>
          <w:rFonts w:hint="default" w:ascii="Times New Roman" w:hAnsi="Times New Roman" w:eastAsia="仿宋_GB2312" w:cs="Times New Roman"/>
          <w:color w:val="auto"/>
          <w:kern w:val="2"/>
          <w:sz w:val="32"/>
          <w:szCs w:val="32"/>
          <w:lang w:val="en-US" w:eastAsia="zh-CN" w:bidi="ar-SA"/>
        </w:rPr>
        <w:t>率100%。</w:t>
      </w:r>
    </w:p>
    <w:p w14:paraId="3F67D61B">
      <w:pPr>
        <w:keepNext w:val="0"/>
        <w:keepLines w:val="0"/>
        <w:pageBreakBefore w:val="0"/>
        <w:numPr>
          <w:ilvl w:val="0"/>
          <w:numId w:val="0"/>
        </w:numPr>
        <w:kinsoku/>
        <w:wordWrap/>
        <w:overflowPunct/>
        <w:topLinePunct w:val="0"/>
        <w:autoSpaceDE/>
        <w:autoSpaceDN/>
        <w:bidi w:val="0"/>
        <w:adjustRightInd/>
        <w:snapToGrid w:val="0"/>
        <w:spacing w:line="570" w:lineRule="exact"/>
        <w:ind w:firstLine="643" w:firstLineChars="200"/>
        <w:jc w:val="both"/>
        <w:textAlignment w:val="auto"/>
        <w:rPr>
          <w:rFonts w:hint="default" w:ascii="Times New Roman" w:hAnsi="Times New Roman" w:eastAsia="楷体_GB2312" w:cs="Times New Roman"/>
          <w:b/>
          <w:sz w:val="32"/>
          <w:szCs w:val="32"/>
          <w:lang w:val="en-US" w:eastAsia="zh-CN"/>
        </w:rPr>
      </w:pPr>
      <w:r>
        <w:rPr>
          <w:rFonts w:hint="default" w:ascii="Times New Roman" w:hAnsi="Times New Roman" w:eastAsia="楷体_GB2312" w:cs="Times New Roman"/>
          <w:b/>
          <w:sz w:val="32"/>
          <w:szCs w:val="32"/>
          <w:lang w:val="en-US" w:eastAsia="zh-CN"/>
        </w:rPr>
        <w:t>3.</w:t>
      </w:r>
      <w:r>
        <w:rPr>
          <w:rFonts w:hint="eastAsia" w:ascii="楷体_GB2312" w:hAnsi="楷体_GB2312" w:eastAsia="楷体_GB2312" w:cs="楷体_GB2312"/>
          <w:b/>
          <w:sz w:val="32"/>
          <w:szCs w:val="32"/>
          <w:lang w:val="en-US" w:eastAsia="zh-CN"/>
        </w:rPr>
        <w:t>“悦享”</w:t>
      </w:r>
      <w:r>
        <w:rPr>
          <w:rFonts w:hint="default" w:ascii="Times New Roman" w:hAnsi="Times New Roman" w:eastAsia="楷体_GB2312" w:cs="Times New Roman"/>
          <w:b/>
          <w:sz w:val="32"/>
          <w:szCs w:val="32"/>
          <w:lang w:val="en-US" w:eastAsia="zh-CN"/>
        </w:rPr>
        <w:t>课程，在体系建构中悦学乐业</w:t>
      </w:r>
    </w:p>
    <w:p w14:paraId="1DD7F7F1">
      <w:pPr>
        <w:pStyle w:val="2"/>
        <w:keepNext w:val="0"/>
        <w:keepLines w:val="0"/>
        <w:pageBreakBefore w:val="0"/>
        <w:widowControl/>
        <w:kinsoku/>
        <w:wordWrap/>
        <w:overflowPunct/>
        <w:topLinePunct w:val="0"/>
        <w:autoSpaceDE/>
        <w:autoSpaceDN/>
        <w:bidi w:val="0"/>
        <w:adjustRightInd/>
        <w:snapToGrid/>
        <w:spacing w:line="570" w:lineRule="exact"/>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课程资源统整联合。</w:t>
      </w:r>
      <w:r>
        <w:rPr>
          <w:rFonts w:hint="eastAsia" w:ascii="仿宋_GB2312" w:hAnsi="仿宋_GB2312" w:eastAsia="仿宋_GB2312" w:cs="仿宋_GB2312"/>
          <w:color w:val="auto"/>
          <w:kern w:val="2"/>
          <w:sz w:val="32"/>
          <w:szCs w:val="32"/>
          <w:lang w:val="en-US" w:eastAsia="zh-CN" w:bidi="ar-SA"/>
        </w:rPr>
        <w:t>学校有效利用三维空间，对校园文化进行了科学规划，丰富了校园文化内涵。将校园与社会、虚拟与现实、集体学习与个别学习相融合，对校园环境、各层大厅等空间进行多功能规划，为课程实施提供更多的物理空间。另一方面，学校充分利用校外及周边的资源优势，与冯仲云纪念馆、横林地板城、横林法庭、横林敬老院、太湖湾劳动教育实践基地、佳农生态园等单位开发了联动社会课程，通过参与社会实践活动，对学生进行科技、国防、劳动、法制、环保、历史等多方面教育，充分践行着“生活即教育”的理念。</w:t>
      </w:r>
    </w:p>
    <w:p w14:paraId="6D56F7F5">
      <w:pPr>
        <w:pStyle w:val="2"/>
        <w:keepNext w:val="0"/>
        <w:keepLines w:val="0"/>
        <w:pageBreakBefore w:val="0"/>
        <w:widowControl/>
        <w:kinsoku/>
        <w:wordWrap/>
        <w:overflowPunct/>
        <w:topLinePunct w:val="0"/>
        <w:autoSpaceDE/>
        <w:autoSpaceDN/>
        <w:bidi w:val="0"/>
        <w:adjustRightInd/>
        <w:snapToGrid/>
        <w:spacing w:line="570" w:lineRule="exact"/>
        <w:ind w:left="0" w:leftChars="0" w:firstLine="643"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“悦享”课程体系建构。</w:t>
      </w:r>
      <w:r>
        <w:rPr>
          <w:rFonts w:hint="eastAsia" w:ascii="仿宋_GB2312" w:hAnsi="仿宋_GB2312" w:eastAsia="仿宋_GB2312" w:cs="仿宋_GB2312"/>
          <w:color w:val="auto"/>
          <w:kern w:val="2"/>
          <w:sz w:val="32"/>
          <w:szCs w:val="32"/>
          <w:lang w:val="en-US" w:eastAsia="zh-CN" w:bidi="ar-SA"/>
        </w:rPr>
        <w:t>学校高度关切国家的需求，关注时代的需要，依托学校办学特色，围绕核心文化，逐步形成了“悦享”课程体系。具体为：“悦心”课程，以德为先，构建特色德育体系；“悦智”课程，以智为本，探索素养导向的常规课堂模式；“悦活”课程，以体为重，重视体育课程改革；“悦美”课程，以美为贵，提升艺术审美素养；“悦动”课程，以劳为基，重视劳动教育课程。“悦享”课程体系满足学生多样化的需求和促进学生的个性化发展，从而构建起培养学生德智体美劳全面发展的教育体系。</w:t>
      </w:r>
    </w:p>
    <w:p w14:paraId="243AD4BF">
      <w:pPr>
        <w:keepNext w:val="0"/>
        <w:keepLines w:val="0"/>
        <w:pageBreakBefore w:val="0"/>
        <w:numPr>
          <w:ilvl w:val="0"/>
          <w:numId w:val="0"/>
        </w:numPr>
        <w:kinsoku/>
        <w:wordWrap/>
        <w:overflowPunct/>
        <w:topLinePunct w:val="0"/>
        <w:autoSpaceDE/>
        <w:autoSpaceDN/>
        <w:bidi w:val="0"/>
        <w:adjustRightInd/>
        <w:snapToGrid w:val="0"/>
        <w:spacing w:line="570" w:lineRule="exact"/>
        <w:ind w:firstLine="643"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“悦享”课堂转型变革。</w:t>
      </w:r>
      <w:r>
        <w:rPr>
          <w:rFonts w:hint="eastAsia" w:ascii="仿宋_GB2312" w:hAnsi="仿宋_GB2312" w:eastAsia="仿宋_GB2312" w:cs="仿宋_GB2312"/>
          <w:color w:val="auto"/>
          <w:kern w:val="2"/>
          <w:sz w:val="32"/>
          <w:szCs w:val="32"/>
          <w:lang w:val="en-US" w:eastAsia="zh-CN" w:bidi="ar-SA"/>
        </w:rPr>
        <w:t>学校严格执行国家课程政策，全面落实“双减”政策，在减轻学生过重课业负担的同时，注重提高课堂教学质量和效率。学校基于新课标要求，提出“三一”课堂教学主张，即在课堂教学中遵循三个一原则：一个真实的学习情境，一个核心任务群，一次有效实践活动。学校实施“</w:t>
      </w:r>
      <w:r>
        <w:rPr>
          <w:rFonts w:hint="default" w:ascii="Times New Roman" w:hAnsi="Times New Roman" w:eastAsia="仿宋_GB2312" w:cs="Times New Roman"/>
          <w:color w:val="auto"/>
          <w:kern w:val="2"/>
          <w:sz w:val="32"/>
          <w:szCs w:val="32"/>
          <w:lang w:val="en-US" w:eastAsia="zh-CN" w:bidi="ar-SA"/>
        </w:rPr>
        <w:t>40+5</w:t>
      </w:r>
      <w:r>
        <w:rPr>
          <w:rFonts w:hint="eastAsia" w:ascii="仿宋_GB2312" w:hAnsi="仿宋_GB2312" w:eastAsia="仿宋_GB2312" w:cs="仿宋_GB2312"/>
          <w:color w:val="auto"/>
          <w:kern w:val="2"/>
          <w:sz w:val="32"/>
          <w:szCs w:val="32"/>
          <w:lang w:val="en-US" w:eastAsia="zh-CN" w:bidi="ar-SA"/>
        </w:rPr>
        <w:t>”课堂，</w:t>
      </w:r>
      <w:r>
        <w:rPr>
          <w:rFonts w:hint="default" w:ascii="Times New Roman" w:hAnsi="Times New Roman" w:eastAsia="仿宋_GB2312" w:cs="Times New Roman"/>
          <w:color w:val="auto"/>
          <w:kern w:val="2"/>
          <w:sz w:val="32"/>
          <w:szCs w:val="32"/>
          <w:lang w:val="en-US" w:eastAsia="zh-CN" w:bidi="ar-SA"/>
        </w:rPr>
        <w:t>40分</w:t>
      </w:r>
      <w:r>
        <w:rPr>
          <w:rFonts w:hint="eastAsia" w:ascii="仿宋_GB2312" w:hAnsi="仿宋_GB2312" w:eastAsia="仿宋_GB2312" w:cs="仿宋_GB2312"/>
          <w:color w:val="auto"/>
          <w:kern w:val="2"/>
          <w:sz w:val="32"/>
          <w:szCs w:val="32"/>
          <w:lang w:val="en-US" w:eastAsia="zh-CN" w:bidi="ar-SA"/>
        </w:rPr>
        <w:t>钟是围绕学习目标展开正常课堂的学习互动时间，</w:t>
      </w:r>
      <w:r>
        <w:rPr>
          <w:rFonts w:hint="default" w:ascii="Times New Roman" w:hAnsi="Times New Roman" w:eastAsia="仿宋_GB2312" w:cs="Times New Roman"/>
          <w:color w:val="auto"/>
          <w:kern w:val="2"/>
          <w:sz w:val="32"/>
          <w:szCs w:val="32"/>
          <w:lang w:val="en-US" w:eastAsia="zh-CN" w:bidi="ar-SA"/>
        </w:rPr>
        <w:t>5分</w:t>
      </w:r>
      <w:r>
        <w:rPr>
          <w:rFonts w:hint="eastAsia" w:ascii="仿宋_GB2312" w:hAnsi="仿宋_GB2312" w:eastAsia="仿宋_GB2312" w:cs="仿宋_GB2312"/>
          <w:color w:val="auto"/>
          <w:kern w:val="2"/>
          <w:sz w:val="32"/>
          <w:szCs w:val="32"/>
          <w:lang w:val="en-US" w:eastAsia="zh-CN" w:bidi="ar-SA"/>
        </w:rPr>
        <w:t>钟为课堂分享时间。课堂教学贴近学生生活，激发学生的学习兴趣，通过合作交流探究，有助于学生对已有知识的迁移运用，解决新情境下的问题，促进深度学习的发生。学校实施“班级抽签开课”“行政推门听课”、“组长（师傅）跟踪听课”制度等，及时发现和改进课堂教学中存在的不足，努力提高课</w:t>
      </w:r>
      <w:r>
        <w:rPr>
          <w:rFonts w:hint="default" w:ascii="Times New Roman" w:hAnsi="Times New Roman" w:eastAsia="仿宋_GB2312" w:cs="Times New Roman"/>
          <w:color w:val="auto"/>
          <w:kern w:val="2"/>
          <w:sz w:val="32"/>
          <w:szCs w:val="32"/>
          <w:lang w:val="en-US" w:eastAsia="zh-CN" w:bidi="ar-SA"/>
        </w:rPr>
        <w:t>堂45分</w:t>
      </w:r>
      <w:r>
        <w:rPr>
          <w:rFonts w:hint="eastAsia" w:ascii="仿宋_GB2312" w:hAnsi="仿宋_GB2312" w:eastAsia="仿宋_GB2312" w:cs="仿宋_GB2312"/>
          <w:color w:val="auto"/>
          <w:kern w:val="2"/>
          <w:sz w:val="32"/>
          <w:szCs w:val="32"/>
          <w:lang w:val="en-US" w:eastAsia="zh-CN" w:bidi="ar-SA"/>
        </w:rPr>
        <w:t>钟效率。</w:t>
      </w:r>
    </w:p>
    <w:p w14:paraId="712F8BF4">
      <w:pPr>
        <w:keepNext w:val="0"/>
        <w:keepLines w:val="0"/>
        <w:pageBreakBefore w:val="0"/>
        <w:kinsoku/>
        <w:wordWrap/>
        <w:overflowPunct/>
        <w:topLinePunct w:val="0"/>
        <w:autoSpaceDE/>
        <w:autoSpaceDN/>
        <w:bidi w:val="0"/>
        <w:adjustRightInd/>
        <w:spacing w:line="570" w:lineRule="exact"/>
        <w:ind w:firstLine="643" w:firstLineChars="200"/>
        <w:jc w:val="both"/>
        <w:textAlignment w:val="auto"/>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特色课程精彩纷呈。</w:t>
      </w:r>
      <w:r>
        <w:rPr>
          <w:rFonts w:hint="eastAsia" w:ascii="仿宋_GB2312" w:hAnsi="仿宋_GB2312" w:eastAsia="仿宋_GB2312" w:cs="仿宋_GB2312"/>
          <w:color w:val="auto"/>
          <w:kern w:val="2"/>
          <w:sz w:val="32"/>
          <w:szCs w:val="32"/>
          <w:lang w:val="en-US" w:eastAsia="zh-CN" w:bidi="ar-SA"/>
        </w:rPr>
        <w:t>学校结合学生年龄特征和成长需求，先后开发了田径、足球、合唱、器乐、射击、航模、机器人、无线电测向等校本选修课程，并完成多门精品校本课程的课程方案、校本教材、授课教案、评价方式的规划设计。学校对劳动教育课程进行顶层设计，通过跨学科、跨场所、跨主体、跨行业来培育学生的劳动素养，构建重基础、多样化、有层次、综合性、有地方特色的课程体系，发挥劳动教育在育人质量提升方面的重要作用，并将其与其他各育融通起来，进行全方位、全过程式的贯穿渗透，以满足不同学生个性化的学习需要和未来职业生涯发展需要。</w:t>
      </w:r>
    </w:p>
    <w:p w14:paraId="497811DD">
      <w:pPr>
        <w:keepNext w:val="0"/>
        <w:keepLines w:val="0"/>
        <w:pageBreakBefore w:val="0"/>
        <w:numPr>
          <w:ilvl w:val="0"/>
          <w:numId w:val="0"/>
        </w:numPr>
        <w:kinsoku/>
        <w:wordWrap/>
        <w:overflowPunct/>
        <w:topLinePunct w:val="0"/>
        <w:autoSpaceDE/>
        <w:autoSpaceDN/>
        <w:bidi w:val="0"/>
        <w:adjustRightInd/>
        <w:snapToGrid w:val="0"/>
        <w:spacing w:line="570" w:lineRule="exact"/>
        <w:ind w:firstLine="643" w:firstLineChars="200"/>
        <w:jc w:val="both"/>
        <w:textAlignment w:val="auto"/>
        <w:rPr>
          <w:rFonts w:hint="default" w:ascii="Times New Roman" w:hAnsi="Times New Roman" w:eastAsia="楷体_GB2312" w:cs="Times New Roman"/>
          <w:b/>
          <w:sz w:val="32"/>
          <w:szCs w:val="32"/>
          <w:lang w:val="en-US" w:eastAsia="zh-CN"/>
        </w:rPr>
      </w:pPr>
      <w:r>
        <w:rPr>
          <w:rFonts w:hint="default" w:ascii="Times New Roman" w:hAnsi="Times New Roman" w:eastAsia="楷体_GB2312" w:cs="Times New Roman"/>
          <w:b/>
          <w:sz w:val="32"/>
          <w:szCs w:val="32"/>
          <w:lang w:val="en-US" w:eastAsia="zh-CN"/>
        </w:rPr>
        <w:t>4.“悦享”德育，在体系建构中悦学乐业</w:t>
      </w:r>
    </w:p>
    <w:p w14:paraId="590AAF03">
      <w:pPr>
        <w:keepNext w:val="0"/>
        <w:keepLines w:val="0"/>
        <w:pageBreakBefore w:val="0"/>
        <w:kinsoku/>
        <w:wordWrap/>
        <w:overflowPunct/>
        <w:topLinePunct w:val="0"/>
        <w:autoSpaceDE/>
        <w:autoSpaceDN/>
        <w:bidi w:val="0"/>
        <w:adjustRightInd/>
        <w:spacing w:line="570" w:lineRule="exact"/>
        <w:ind w:firstLine="643"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德育课程分层设计。</w:t>
      </w:r>
      <w:r>
        <w:rPr>
          <w:rFonts w:hint="eastAsia" w:ascii="仿宋_GB2312" w:hAnsi="仿宋_GB2312" w:eastAsia="仿宋_GB2312" w:cs="仿宋_GB2312"/>
          <w:color w:val="auto"/>
          <w:kern w:val="2"/>
          <w:sz w:val="32"/>
          <w:szCs w:val="32"/>
          <w:lang w:val="en-US" w:eastAsia="zh-CN" w:bidi="ar-SA"/>
        </w:rPr>
        <w:t>学校充分挖掘并整合德育资源，多渠道、全方位、立体化开展德育工作。以“悦享‘心’成长”为德育主题，不断丰富德育内容，拓展德育途径，形成了良好的德育环境，逐步形成学校“悦享”德育特色。各年级根据德育子主题，以明礼润心、诚意正心、尚学凝心为主要内容，分年级、分层次实施教育，培养明礼少年、诚意少年和尚学少年。学校依托德育课程的“四节”：科技节、读书节、体育节、艺术节，积极创新德育活动形式，依托实践活动，丰富德育内容，如理想信念教育、社会主义核心价值观教育、中华优秀传统文化教育、生态文明教育、心理健康教育等。</w:t>
      </w:r>
    </w:p>
    <w:p w14:paraId="76422C7D">
      <w:pPr>
        <w:keepNext w:val="0"/>
        <w:keepLines w:val="0"/>
        <w:pageBreakBefore w:val="0"/>
        <w:kinsoku/>
        <w:wordWrap/>
        <w:overflowPunct/>
        <w:topLinePunct w:val="0"/>
        <w:autoSpaceDE/>
        <w:autoSpaceDN/>
        <w:bidi w:val="0"/>
        <w:adjustRightInd/>
        <w:spacing w:line="570" w:lineRule="exact"/>
        <w:ind w:firstLine="643"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德育环境系统营造。</w:t>
      </w:r>
      <w:r>
        <w:rPr>
          <w:rFonts w:hint="eastAsia" w:ascii="仿宋_GB2312" w:hAnsi="仿宋_GB2312" w:eastAsia="仿宋_GB2312" w:cs="仿宋_GB2312"/>
          <w:color w:val="auto"/>
          <w:kern w:val="2"/>
          <w:sz w:val="32"/>
          <w:szCs w:val="32"/>
          <w:lang w:val="en-US" w:eastAsia="zh-CN" w:bidi="ar-SA"/>
        </w:rPr>
        <w:t>学校充分利用悦享长廊、黑板报、楼间墙壁等场所，让每堵墙每个角落，都成为学生责任教育的阵地，校园内“悦享”文化氛围浓郁。班级文化个性化，学校全面启用电子班牌，各班级借助电子班牌展示班级目标、口号、照片、建立学生成长档案，展现班级风采，利用教室内的空间，把德育子主题文化与班级文化融为一体，积极创建班级特色；校园文化体系化，学校“悦享长廊”有三个板块构成，分别是悦享耕耘·教师风采、悦享成长·学生风采和悦享文化。其中，悦享文化包括班级文化、社团文化和书香文化。通过布置长廊，展现校园的“悦享”文化。</w:t>
      </w:r>
    </w:p>
    <w:p w14:paraId="150A1EF7">
      <w:pPr>
        <w:keepNext w:val="0"/>
        <w:keepLines w:val="0"/>
        <w:pageBreakBefore w:val="0"/>
        <w:kinsoku/>
        <w:wordWrap/>
        <w:overflowPunct/>
        <w:topLinePunct w:val="0"/>
        <w:autoSpaceDE/>
        <w:autoSpaceDN/>
        <w:bidi w:val="0"/>
        <w:adjustRightInd/>
        <w:spacing w:line="57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color w:val="auto"/>
          <w:kern w:val="2"/>
          <w:sz w:val="32"/>
          <w:szCs w:val="32"/>
          <w:lang w:val="en-US" w:eastAsia="zh-CN" w:bidi="ar-SA"/>
        </w:rPr>
        <w:t>校家社协同凝聚合力。</w:t>
      </w:r>
      <w:r>
        <w:rPr>
          <w:rFonts w:hint="eastAsia" w:ascii="仿宋_GB2312" w:hAnsi="仿宋_GB2312" w:eastAsia="仿宋_GB2312" w:cs="仿宋_GB2312"/>
          <w:color w:val="auto"/>
          <w:kern w:val="2"/>
          <w:sz w:val="32"/>
          <w:szCs w:val="32"/>
          <w:lang w:val="en-US" w:eastAsia="zh-CN" w:bidi="ar-SA"/>
        </w:rPr>
        <w:t>学校成立了家校合作委员会，由校领导、教师代表、家长代表组成，定期召开会议，共同商讨教育事务。同时，学校利用网络平台，如家校微信群、学校公众号等，及时发布学校动态、教学安排及学生表现，方便家长随时了解孩子的学习生活情况。学校邀请教育专家、心理咨询师等，定期为家长举办家庭教育讲座，不定期召开年级家长会、班级家长会，针对学生阶段性、普遍性存在的问题进行答疑解惑。学校与社区、企业、法院、消防大队等建立了广泛的合作关系，为学生提供了丰富的社会实践机会。学校与家委会合作，共同策划了一系列家校共育项目，如亲子阅读、家长进课堂、家校联欢会等，校家社协同，共同为学生的成长创造良好的环境。</w:t>
      </w:r>
    </w:p>
    <w:p w14:paraId="2BF162CC">
      <w:pPr>
        <w:keepNext w:val="0"/>
        <w:keepLines w:val="0"/>
        <w:pageBreakBefore w:val="0"/>
        <w:numPr>
          <w:ilvl w:val="0"/>
          <w:numId w:val="0"/>
        </w:numPr>
        <w:kinsoku/>
        <w:wordWrap/>
        <w:overflowPunct/>
        <w:topLinePunct w:val="0"/>
        <w:autoSpaceDE/>
        <w:autoSpaceDN/>
        <w:bidi w:val="0"/>
        <w:adjustRightInd/>
        <w:snapToGrid w:val="0"/>
        <w:spacing w:line="570" w:lineRule="exact"/>
        <w:ind w:firstLine="643" w:firstLineChars="200"/>
        <w:jc w:val="both"/>
        <w:textAlignment w:val="auto"/>
        <w:rPr>
          <w:rFonts w:hint="default" w:ascii="Times New Roman" w:hAnsi="Times New Roman" w:eastAsia="楷体_GB2312" w:cs="Times New Roman"/>
          <w:b/>
          <w:sz w:val="32"/>
          <w:szCs w:val="32"/>
          <w:lang w:val="en-US" w:eastAsia="zh-CN"/>
        </w:rPr>
      </w:pPr>
      <w:r>
        <w:rPr>
          <w:rFonts w:hint="default" w:ascii="Times New Roman" w:hAnsi="Times New Roman" w:eastAsia="楷体_GB2312" w:cs="Times New Roman"/>
          <w:b/>
          <w:kern w:val="2"/>
          <w:sz w:val="32"/>
          <w:szCs w:val="32"/>
          <w:lang w:val="en-US" w:eastAsia="zh-CN" w:bidi="ar-SA"/>
        </w:rPr>
        <w:t>5.</w:t>
      </w:r>
      <w:r>
        <w:rPr>
          <w:rFonts w:hint="default" w:ascii="Times New Roman" w:hAnsi="Times New Roman" w:eastAsia="楷体_GB2312" w:cs="Times New Roman"/>
          <w:b/>
          <w:sz w:val="32"/>
          <w:szCs w:val="32"/>
          <w:lang w:val="en-US" w:eastAsia="zh-CN"/>
        </w:rPr>
        <w:t>教师团队，在</w:t>
      </w:r>
      <w:r>
        <w:rPr>
          <w:rFonts w:hint="eastAsia" w:ascii="楷体_GB2312" w:hAnsi="楷体_GB2312" w:eastAsia="楷体_GB2312" w:cs="楷体_GB2312"/>
          <w:b/>
          <w:sz w:val="32"/>
          <w:szCs w:val="32"/>
          <w:lang w:val="en-US" w:eastAsia="zh-CN"/>
        </w:rPr>
        <w:t>“双成”</w:t>
      </w:r>
      <w:r>
        <w:rPr>
          <w:rFonts w:hint="default" w:ascii="Times New Roman" w:hAnsi="Times New Roman" w:eastAsia="楷体_GB2312" w:cs="Times New Roman"/>
          <w:b/>
          <w:sz w:val="32"/>
          <w:szCs w:val="32"/>
          <w:lang w:val="en-US" w:eastAsia="zh-CN"/>
        </w:rPr>
        <w:t>机制中悦教共享</w:t>
      </w:r>
    </w:p>
    <w:p w14:paraId="4C66329E">
      <w:pPr>
        <w:keepNext w:val="0"/>
        <w:keepLines w:val="0"/>
        <w:pageBreakBefore w:val="0"/>
        <w:kinsoku/>
        <w:wordWrap/>
        <w:overflowPunct/>
        <w:topLinePunct w:val="0"/>
        <w:autoSpaceDE/>
        <w:autoSpaceDN/>
        <w:bidi w:val="0"/>
        <w:adjustRightInd/>
        <w:spacing w:line="570" w:lineRule="exact"/>
        <w:ind w:firstLine="643"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领雁工程坚定教师发展目标。</w:t>
      </w:r>
      <w:r>
        <w:rPr>
          <w:rFonts w:hint="eastAsia" w:ascii="仿宋_GB2312" w:hAnsi="仿宋_GB2312" w:eastAsia="仿宋_GB2312" w:cs="仿宋_GB2312"/>
          <w:color w:val="auto"/>
          <w:kern w:val="2"/>
          <w:sz w:val="32"/>
          <w:szCs w:val="32"/>
          <w:lang w:val="en-US" w:eastAsia="zh-CN" w:bidi="ar-SA"/>
        </w:rPr>
        <w:t>学校校级领导班子确立了全校一盘棋的思想，坚持集体领导与个人分工负责相结合的制度，严格执行校长办公会议制度及“三重一大”决策制度。学校始终把中层干部的建设和管理定位于“为师生服务、受师生监督”上，每三年组织一次中层干部竞聘，定期对聘任的中层干部进行系统培训，丰富干部队伍的培训培养形式，增强干部队伍的执行力、凝聚力，逐步形成“德才兼备、真干事、会干事、能干事、会合作、肯奉献”的干部团队。通过定期召开行政会议，明目标提要求，将学校的行政工作制度化、系统化。</w:t>
      </w:r>
    </w:p>
    <w:p w14:paraId="61C759B9">
      <w:pPr>
        <w:keepNext w:val="0"/>
        <w:keepLines w:val="0"/>
        <w:pageBreakBefore w:val="0"/>
        <w:kinsoku/>
        <w:wordWrap/>
        <w:overflowPunct/>
        <w:topLinePunct w:val="0"/>
        <w:autoSpaceDE/>
        <w:autoSpaceDN/>
        <w:bidi w:val="0"/>
        <w:adjustRightInd/>
        <w:spacing w:line="57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color w:val="auto"/>
          <w:kern w:val="2"/>
          <w:sz w:val="32"/>
          <w:szCs w:val="32"/>
          <w:lang w:val="en-US" w:eastAsia="zh-CN" w:bidi="ar-SA"/>
        </w:rPr>
        <w:t>青蓝工程提升教师专业能力。</w:t>
      </w:r>
      <w:r>
        <w:rPr>
          <w:rFonts w:hint="eastAsia" w:ascii="仿宋_GB2312" w:hAnsi="仿宋_GB2312" w:eastAsia="仿宋_GB2312" w:cs="仿宋_GB2312"/>
          <w:color w:val="auto"/>
          <w:kern w:val="2"/>
          <w:sz w:val="32"/>
          <w:szCs w:val="32"/>
          <w:lang w:val="en-US" w:eastAsia="zh-CN" w:bidi="ar-SA"/>
        </w:rPr>
        <w:t>学校始终坚持开展青蓝工程师徒结对活动，充分发挥学科带头人、骨干教师的示范、引领作用以及老教师的传、帮、带作用。学校通过举办“青蓝工程”、青年教师成长营、“五级梯队”规划推进、城乡优秀教师牵手、教学沙龙论坛等项目，开展了一系列的岗位练兵活动：主题班会评比、班主任基本功大赛、教学开放日、新进教师亮相课、师傅示范课、课题研究活动课，以及各级教育行政部门组织的教学设计、教学案例、教学论文、课件设计等评比活动，新教师脱颖而出，迅速成为学校的教育教学骨干。</w:t>
      </w:r>
    </w:p>
    <w:p w14:paraId="299D0DA9">
      <w:pPr>
        <w:keepNext w:val="0"/>
        <w:keepLines w:val="0"/>
        <w:pageBreakBefore w:val="0"/>
        <w:kinsoku/>
        <w:wordWrap/>
        <w:overflowPunct/>
        <w:topLinePunct w:val="0"/>
        <w:autoSpaceDE/>
        <w:autoSpaceDN/>
        <w:bidi w:val="0"/>
        <w:adjustRightInd/>
        <w:spacing w:line="570" w:lineRule="exact"/>
        <w:ind w:firstLine="643"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师能工程发挥教师示范作用。</w:t>
      </w:r>
      <w:r>
        <w:rPr>
          <w:rFonts w:hint="eastAsia" w:ascii="仿宋_GB2312" w:hAnsi="仿宋_GB2312" w:eastAsia="仿宋_GB2312" w:cs="仿宋_GB2312"/>
          <w:color w:val="auto"/>
          <w:kern w:val="2"/>
          <w:sz w:val="32"/>
          <w:szCs w:val="32"/>
          <w:lang w:val="en-US" w:eastAsia="zh-CN" w:bidi="ar-SA"/>
        </w:rPr>
        <w:t>学校始终坚持“走出去吸氧，请进来培智”的原则，邀请专家来校进行专题指导讲座，积极创造条件，外派教师积极参加省内外活动，培养骨干、发展青年教师双轮驱动，效果显著。学校先后与宿迁曹集中心学校、常州市市北实验中学签约结对，帮扶共建，积极开展校际之间的联合教研活动，分享智慧，共生共长。同时，学校依托常州市名校长培养基地、市区两级名师工作室、名班主任工作室等平台，激发和提升了校级领导、行政、年级组长、班主任的综合素养。</w:t>
      </w:r>
    </w:p>
    <w:p w14:paraId="7689509A">
      <w:pPr>
        <w:keepNext w:val="0"/>
        <w:keepLines w:val="0"/>
        <w:pageBreakBefore w:val="0"/>
        <w:kinsoku/>
        <w:wordWrap/>
        <w:overflowPunct/>
        <w:topLinePunct w:val="0"/>
        <w:autoSpaceDE/>
        <w:autoSpaceDN/>
        <w:bidi w:val="0"/>
        <w:adjustRightInd/>
        <w:spacing w:line="570" w:lineRule="exact"/>
        <w:ind w:firstLine="643"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sz w:val="32"/>
          <w:szCs w:val="32"/>
          <w:lang w:val="en-US" w:eastAsia="zh-CN"/>
        </w:rPr>
        <w:t>教学研究提升教师业务水平。</w:t>
      </w:r>
      <w:r>
        <w:rPr>
          <w:rFonts w:hint="eastAsia" w:ascii="仿宋_GB2312" w:hAnsi="仿宋_GB2312" w:eastAsia="仿宋_GB2312" w:cs="仿宋_GB2312"/>
          <w:color w:val="auto"/>
          <w:kern w:val="2"/>
          <w:sz w:val="32"/>
          <w:szCs w:val="32"/>
          <w:lang w:val="en-US" w:eastAsia="zh-CN" w:bidi="ar-SA"/>
        </w:rPr>
        <w:t>学校本着“研教、研训、研修”相结合的原则，重视常规教研工作的指导和管理，定期举办教研组长（备课组长）研讨沙龙、教学研讨会，为骨干教师和广大青年教师的成长搭建平台，提供舞台。学校采取多样化的教研方式，加强与帮扶结对学校之间的校际交流与活动，激发教研活力。全体教师立足校情，积极开展课题研究，广大教师主动参与，立足课堂，积极撰写课题研究论文，在科研中促进专业成长。</w:t>
      </w:r>
    </w:p>
    <w:p w14:paraId="27D67957">
      <w:pPr>
        <w:keepNext w:val="0"/>
        <w:keepLines w:val="0"/>
        <w:pageBreakBefore w:val="0"/>
        <w:widowControl/>
        <w:kinsoku/>
        <w:wordWrap/>
        <w:overflowPunct/>
        <w:topLinePunct w:val="0"/>
        <w:autoSpaceDE/>
        <w:autoSpaceDN/>
        <w:bidi w:val="0"/>
        <w:adjustRightInd/>
        <w:spacing w:line="57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四、问题和建议</w:t>
      </w:r>
    </w:p>
    <w:p w14:paraId="44919A61">
      <w:pPr>
        <w:keepNext w:val="0"/>
        <w:keepLines w:val="0"/>
        <w:pageBreakBefore w:val="0"/>
        <w:kinsoku/>
        <w:wordWrap/>
        <w:overflowPunct/>
        <w:topLinePunct w:val="0"/>
        <w:autoSpaceDE/>
        <w:autoSpaceDN/>
        <w:bidi w:val="0"/>
        <w:adjustRightInd/>
        <w:spacing w:line="570" w:lineRule="exact"/>
        <w:ind w:firstLine="643" w:firstLineChars="200"/>
        <w:jc w:val="both"/>
        <w:textAlignment w:val="auto"/>
        <w:rPr>
          <w:rFonts w:hint="default" w:ascii="Times New Roman" w:hAnsi="Times New Roman" w:eastAsia="楷体_GB2312" w:cs="Times New Roman"/>
          <w:b/>
          <w:bCs/>
          <w:color w:val="auto"/>
          <w:kern w:val="2"/>
          <w:sz w:val="32"/>
          <w:szCs w:val="32"/>
          <w:lang w:val="en-US" w:eastAsia="zh-CN" w:bidi="ar-SA"/>
        </w:rPr>
      </w:pPr>
      <w:r>
        <w:rPr>
          <w:rFonts w:hint="default" w:ascii="Times New Roman" w:hAnsi="Times New Roman" w:eastAsia="楷体_GB2312" w:cs="Times New Roman"/>
          <w:b/>
          <w:bCs/>
          <w:color w:val="auto"/>
          <w:kern w:val="2"/>
          <w:sz w:val="32"/>
          <w:szCs w:val="32"/>
          <w:lang w:val="en-US" w:eastAsia="zh-CN" w:bidi="ar-SA"/>
        </w:rPr>
        <w:t>1.课程体系的深度建构</w:t>
      </w:r>
    </w:p>
    <w:p w14:paraId="3F760483">
      <w:pPr>
        <w:keepNext w:val="0"/>
        <w:keepLines w:val="0"/>
        <w:pageBreakBefore w:val="0"/>
        <w:kinsoku/>
        <w:wordWrap/>
        <w:overflowPunct/>
        <w:topLinePunct w:val="0"/>
        <w:autoSpaceDE/>
        <w:autoSpaceDN/>
        <w:bidi w:val="0"/>
        <w:adjustRightInd/>
        <w:spacing w:line="57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 xml:space="preserve">基于学校“悦享”文化系统对“悦享”课程课程建构的关照，聚焦悦心、悦智、悦活、悦美、悦动五大课程领域，对基础型课程、拓展型课程、探究型课程三大课程群落的内涵界定、实施途径、课时设置、课程内容和评价、微课程项目群等再辨析梳理、再统整融合、再结构化表达。    </w:t>
      </w:r>
    </w:p>
    <w:p w14:paraId="62A053D6">
      <w:pPr>
        <w:keepNext w:val="0"/>
        <w:keepLines w:val="0"/>
        <w:pageBreakBefore w:val="0"/>
        <w:kinsoku/>
        <w:wordWrap/>
        <w:overflowPunct/>
        <w:topLinePunct w:val="0"/>
        <w:autoSpaceDE/>
        <w:autoSpaceDN/>
        <w:bidi w:val="0"/>
        <w:adjustRightInd/>
        <w:spacing w:line="570" w:lineRule="exact"/>
        <w:ind w:firstLine="643" w:firstLineChars="200"/>
        <w:jc w:val="both"/>
        <w:textAlignment w:val="auto"/>
        <w:rPr>
          <w:rFonts w:hint="eastAsia" w:ascii="Times New Roman" w:hAnsi="Times New Roman" w:eastAsia="楷体_GB2312" w:cs="Times New Roman"/>
          <w:b/>
          <w:bCs/>
          <w:color w:val="auto"/>
          <w:kern w:val="2"/>
          <w:sz w:val="32"/>
          <w:szCs w:val="32"/>
          <w:lang w:val="en-US" w:eastAsia="zh-CN" w:bidi="ar-SA"/>
        </w:rPr>
      </w:pPr>
      <w:r>
        <w:rPr>
          <w:rFonts w:hint="eastAsia" w:ascii="Times New Roman" w:hAnsi="Times New Roman" w:eastAsia="楷体_GB2312" w:cs="Times New Roman"/>
          <w:b/>
          <w:bCs/>
          <w:color w:val="auto"/>
          <w:kern w:val="2"/>
          <w:sz w:val="32"/>
          <w:szCs w:val="32"/>
          <w:lang w:val="en-US" w:eastAsia="zh-CN" w:bidi="ar-SA"/>
        </w:rPr>
        <w:t>2.教学主张的落地生根</w:t>
      </w:r>
    </w:p>
    <w:p w14:paraId="1E93D908">
      <w:pPr>
        <w:keepNext w:val="0"/>
        <w:keepLines w:val="0"/>
        <w:pageBreakBefore w:val="0"/>
        <w:kinsoku/>
        <w:wordWrap/>
        <w:overflowPunct/>
        <w:topLinePunct w:val="0"/>
        <w:autoSpaceDE/>
        <w:autoSpaceDN/>
        <w:bidi w:val="0"/>
        <w:adjustRightInd/>
        <w:spacing w:line="57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 xml:space="preserve">学校“悦享课堂”聚焦“双减”背景，聚焦新课改，指向师生学与教方式的体系变革，建议从“悦享课堂”的内涵界定、核心特质、好课标准到课堂教学评价表需全流程设计，更重要的是在日常教研中主题序列研究并推进实施，让“三一”课堂教学主张在各学科教师群体的日常课堂教学中从理念到行动真正落地。 </w:t>
      </w:r>
    </w:p>
    <w:p w14:paraId="1D301310">
      <w:pPr>
        <w:keepNext w:val="0"/>
        <w:keepLines w:val="0"/>
        <w:pageBreakBefore w:val="0"/>
        <w:kinsoku/>
        <w:wordWrap/>
        <w:overflowPunct/>
        <w:topLinePunct w:val="0"/>
        <w:autoSpaceDE/>
        <w:autoSpaceDN/>
        <w:bidi w:val="0"/>
        <w:adjustRightInd/>
        <w:spacing w:line="570" w:lineRule="exact"/>
        <w:ind w:firstLine="643" w:firstLineChars="200"/>
        <w:jc w:val="both"/>
        <w:textAlignment w:val="auto"/>
        <w:rPr>
          <w:rFonts w:hint="eastAsia" w:ascii="Times New Roman" w:hAnsi="Times New Roman" w:eastAsia="楷体_GB2312" w:cs="Times New Roman"/>
          <w:b/>
          <w:bCs/>
          <w:color w:val="auto"/>
          <w:kern w:val="2"/>
          <w:sz w:val="32"/>
          <w:szCs w:val="32"/>
          <w:lang w:val="en-US" w:eastAsia="zh-CN" w:bidi="ar-SA"/>
        </w:rPr>
      </w:pPr>
      <w:r>
        <w:rPr>
          <w:rFonts w:hint="eastAsia" w:ascii="Times New Roman" w:hAnsi="Times New Roman" w:eastAsia="楷体_GB2312" w:cs="Times New Roman"/>
          <w:b/>
          <w:bCs/>
          <w:color w:val="auto"/>
          <w:kern w:val="2"/>
          <w:sz w:val="32"/>
          <w:szCs w:val="32"/>
          <w:lang w:val="en-US" w:eastAsia="zh-CN" w:bidi="ar-SA"/>
        </w:rPr>
        <w:t>3.教师团队的群体生长</w:t>
      </w:r>
    </w:p>
    <w:p w14:paraId="52878E65">
      <w:pPr>
        <w:keepNext w:val="0"/>
        <w:keepLines w:val="0"/>
        <w:pageBreakBefore w:val="0"/>
        <w:kinsoku/>
        <w:wordWrap/>
        <w:overflowPunct/>
        <w:topLinePunct w:val="0"/>
        <w:autoSpaceDE/>
        <w:autoSpaceDN/>
        <w:bidi w:val="0"/>
        <w:adjustRightInd/>
        <w:spacing w:line="57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基于学校新教师比例较高的发展现状，一是向内强体。持续加强学校校本研修的专业性建设，聚焦教师专业成长的“一体双翼”开展主题性、体系性、引领性、项目性教师培训；持续重视学科教研组、备课组的品质性建设，聚焦学科组的研究性建设，依托项目课题引领倒逼潜力教师深度学习、深度研究、深度生长；二是向外活源。持续关注教师成长规划的价值效能，从规划制定论证、过程实施、成果考评全流程设计。学校积极搭建平台，整合市区专家名师资源，结对帮扶，过程性指导，全程性陪伴，助推学科领军型教师的成长效度。</w:t>
      </w:r>
    </w:p>
    <w:p w14:paraId="22223A68">
      <w:pPr>
        <w:keepNext w:val="0"/>
        <w:keepLines w:val="0"/>
        <w:pageBreakBefore w:val="0"/>
        <w:kinsoku/>
        <w:wordWrap/>
        <w:overflowPunct/>
        <w:topLinePunct w:val="0"/>
        <w:autoSpaceDE/>
        <w:autoSpaceDN/>
        <w:bidi w:val="0"/>
        <w:adjustRightInd/>
        <w:spacing w:line="57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p>
    <w:p w14:paraId="62DFF3A7">
      <w:pPr>
        <w:keepNext w:val="0"/>
        <w:keepLines w:val="0"/>
        <w:pageBreakBefore w:val="0"/>
        <w:widowControl/>
        <w:kinsoku/>
        <w:wordWrap/>
        <w:overflowPunct/>
        <w:topLinePunct w:val="0"/>
        <w:autoSpaceDE/>
        <w:autoSpaceDN/>
        <w:bidi w:val="0"/>
        <w:adjustRightInd/>
        <w:spacing w:line="570" w:lineRule="exact"/>
        <w:ind w:firstLine="6720" w:firstLineChars="2100"/>
        <w:jc w:val="both"/>
        <w:textAlignment w:val="auto"/>
        <w:rPr>
          <w:rFonts w:hint="eastAsia" w:ascii="仿宋_GB2312" w:hAnsi="仿宋_GB2312" w:eastAsia="仿宋_GB2312" w:cs="仿宋_GB2312"/>
          <w:sz w:val="32"/>
          <w:szCs w:val="32"/>
        </w:rPr>
      </w:pPr>
    </w:p>
    <w:sectPr>
      <w:footerReference r:id="rId3" w:type="default"/>
      <w:pgSz w:w="11906" w:h="16838"/>
      <w:pgMar w:top="2098" w:right="1531" w:bottom="1984"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roman"/>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235EEC">
    <w:pPr>
      <w:pStyle w:val="6"/>
    </w:pPr>
    <w:r>
      <w:rPr>
        <w:sz w:val="18"/>
      </w:rPr>
      <w:pict>
        <v:shape id="_x0000_s4097" o:spid="_x0000_s4097" o:spt="202" type="#_x0000_t202" style="position:absolute;left:0pt;margin-top:0pt;height:144pt;width:144pt;mso-position-horizontal:right;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14BF6440">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kzZDVjMDk5YzY3OTU2MTI5OWE5YzYyNzU1N2QxN2IifQ=="/>
  </w:docVars>
  <w:rsids>
    <w:rsidRoot w:val="00B84ECA"/>
    <w:rsid w:val="00017240"/>
    <w:rsid w:val="0001758C"/>
    <w:rsid w:val="00061820"/>
    <w:rsid w:val="00067B47"/>
    <w:rsid w:val="00124672"/>
    <w:rsid w:val="00274B16"/>
    <w:rsid w:val="003508DC"/>
    <w:rsid w:val="0040577A"/>
    <w:rsid w:val="00425C6B"/>
    <w:rsid w:val="00440A28"/>
    <w:rsid w:val="00473174"/>
    <w:rsid w:val="004F5CA2"/>
    <w:rsid w:val="00501416"/>
    <w:rsid w:val="00510697"/>
    <w:rsid w:val="00515BA7"/>
    <w:rsid w:val="00521D67"/>
    <w:rsid w:val="0053039C"/>
    <w:rsid w:val="00556863"/>
    <w:rsid w:val="00557DA0"/>
    <w:rsid w:val="005F60FA"/>
    <w:rsid w:val="006357E1"/>
    <w:rsid w:val="0068346C"/>
    <w:rsid w:val="006B27C6"/>
    <w:rsid w:val="006C53B9"/>
    <w:rsid w:val="006E6810"/>
    <w:rsid w:val="0077387E"/>
    <w:rsid w:val="007911A8"/>
    <w:rsid w:val="007C299B"/>
    <w:rsid w:val="00815906"/>
    <w:rsid w:val="00871401"/>
    <w:rsid w:val="00872DE0"/>
    <w:rsid w:val="00874239"/>
    <w:rsid w:val="008C487E"/>
    <w:rsid w:val="008D49DE"/>
    <w:rsid w:val="008E01A2"/>
    <w:rsid w:val="00915D47"/>
    <w:rsid w:val="00950240"/>
    <w:rsid w:val="009D45D3"/>
    <w:rsid w:val="00A24D99"/>
    <w:rsid w:val="00A45A49"/>
    <w:rsid w:val="00A91FD1"/>
    <w:rsid w:val="00AA49C9"/>
    <w:rsid w:val="00AB4B59"/>
    <w:rsid w:val="00AB62AD"/>
    <w:rsid w:val="00B708FF"/>
    <w:rsid w:val="00B7629A"/>
    <w:rsid w:val="00B80EBD"/>
    <w:rsid w:val="00B84ECA"/>
    <w:rsid w:val="00B9786F"/>
    <w:rsid w:val="00BA2D05"/>
    <w:rsid w:val="00BB40CE"/>
    <w:rsid w:val="00BF1BA1"/>
    <w:rsid w:val="00C40517"/>
    <w:rsid w:val="00CB1541"/>
    <w:rsid w:val="00CB42B5"/>
    <w:rsid w:val="00CB6E80"/>
    <w:rsid w:val="00CF2578"/>
    <w:rsid w:val="00D47743"/>
    <w:rsid w:val="00D56555"/>
    <w:rsid w:val="00D725F6"/>
    <w:rsid w:val="00D965CB"/>
    <w:rsid w:val="00E22E28"/>
    <w:rsid w:val="00E24802"/>
    <w:rsid w:val="016F283F"/>
    <w:rsid w:val="01B666C0"/>
    <w:rsid w:val="01F3521E"/>
    <w:rsid w:val="02663C42"/>
    <w:rsid w:val="034A76C9"/>
    <w:rsid w:val="034B4BE6"/>
    <w:rsid w:val="04390EE3"/>
    <w:rsid w:val="04714B20"/>
    <w:rsid w:val="04B87E9D"/>
    <w:rsid w:val="04E377CC"/>
    <w:rsid w:val="0545126E"/>
    <w:rsid w:val="05467D5B"/>
    <w:rsid w:val="060E0879"/>
    <w:rsid w:val="062F6A41"/>
    <w:rsid w:val="07230078"/>
    <w:rsid w:val="079528D4"/>
    <w:rsid w:val="079B25E0"/>
    <w:rsid w:val="082500FC"/>
    <w:rsid w:val="088017D6"/>
    <w:rsid w:val="096B5FE2"/>
    <w:rsid w:val="09947012"/>
    <w:rsid w:val="09D7309B"/>
    <w:rsid w:val="0A2F5262"/>
    <w:rsid w:val="0A7F39B0"/>
    <w:rsid w:val="0AA479FE"/>
    <w:rsid w:val="0B095AB3"/>
    <w:rsid w:val="0B2C354F"/>
    <w:rsid w:val="0B8909A2"/>
    <w:rsid w:val="0B946A7D"/>
    <w:rsid w:val="0BD059A8"/>
    <w:rsid w:val="0C0369A6"/>
    <w:rsid w:val="0C214F8D"/>
    <w:rsid w:val="0C547201"/>
    <w:rsid w:val="0C5C1C12"/>
    <w:rsid w:val="0C6C454B"/>
    <w:rsid w:val="0C8573BB"/>
    <w:rsid w:val="0CC2416B"/>
    <w:rsid w:val="0CCF6888"/>
    <w:rsid w:val="0D1D23D6"/>
    <w:rsid w:val="0D5F5E5E"/>
    <w:rsid w:val="0D6214AA"/>
    <w:rsid w:val="0D784CC7"/>
    <w:rsid w:val="0D8256A8"/>
    <w:rsid w:val="0D907DC5"/>
    <w:rsid w:val="0D9553DC"/>
    <w:rsid w:val="0DB20DF2"/>
    <w:rsid w:val="0E386D0A"/>
    <w:rsid w:val="0E572FD9"/>
    <w:rsid w:val="0E5E76DC"/>
    <w:rsid w:val="0EA93835"/>
    <w:rsid w:val="0EB2020F"/>
    <w:rsid w:val="0ECD7FD4"/>
    <w:rsid w:val="0F3F1F17"/>
    <w:rsid w:val="0FB00BF3"/>
    <w:rsid w:val="105C48D7"/>
    <w:rsid w:val="10D821AF"/>
    <w:rsid w:val="10EA5A3E"/>
    <w:rsid w:val="118E0AC0"/>
    <w:rsid w:val="11BF511D"/>
    <w:rsid w:val="12107727"/>
    <w:rsid w:val="12445143"/>
    <w:rsid w:val="124A777F"/>
    <w:rsid w:val="12577104"/>
    <w:rsid w:val="12A37975"/>
    <w:rsid w:val="12E34E3B"/>
    <w:rsid w:val="13181F7D"/>
    <w:rsid w:val="1333495D"/>
    <w:rsid w:val="135D2E40"/>
    <w:rsid w:val="140432BB"/>
    <w:rsid w:val="14101C60"/>
    <w:rsid w:val="145F6743"/>
    <w:rsid w:val="14630FD0"/>
    <w:rsid w:val="161C3A76"/>
    <w:rsid w:val="16210154"/>
    <w:rsid w:val="16222963"/>
    <w:rsid w:val="166748E1"/>
    <w:rsid w:val="16A50D85"/>
    <w:rsid w:val="16F13FCB"/>
    <w:rsid w:val="172C5003"/>
    <w:rsid w:val="17681DB3"/>
    <w:rsid w:val="18287FB5"/>
    <w:rsid w:val="18C63235"/>
    <w:rsid w:val="18FE477D"/>
    <w:rsid w:val="19067AD5"/>
    <w:rsid w:val="194B54E8"/>
    <w:rsid w:val="1972491D"/>
    <w:rsid w:val="19D90D46"/>
    <w:rsid w:val="1AC13CB4"/>
    <w:rsid w:val="1AED2CFB"/>
    <w:rsid w:val="1B1C538E"/>
    <w:rsid w:val="1B2F50C2"/>
    <w:rsid w:val="1B4A3CA9"/>
    <w:rsid w:val="1B7C5E2D"/>
    <w:rsid w:val="1BA84E74"/>
    <w:rsid w:val="1BE35EAC"/>
    <w:rsid w:val="1C80194D"/>
    <w:rsid w:val="1C896A53"/>
    <w:rsid w:val="1D1C5BFE"/>
    <w:rsid w:val="1D4666F2"/>
    <w:rsid w:val="1DAE005A"/>
    <w:rsid w:val="1DB345FA"/>
    <w:rsid w:val="1E0068A1"/>
    <w:rsid w:val="1E72310C"/>
    <w:rsid w:val="1E8330F4"/>
    <w:rsid w:val="1E917E41"/>
    <w:rsid w:val="1EB63404"/>
    <w:rsid w:val="1EB77D42"/>
    <w:rsid w:val="1F7C3533"/>
    <w:rsid w:val="20112FE8"/>
    <w:rsid w:val="202820DF"/>
    <w:rsid w:val="202F346E"/>
    <w:rsid w:val="20457135"/>
    <w:rsid w:val="214356AB"/>
    <w:rsid w:val="215C7E1B"/>
    <w:rsid w:val="21D06ED2"/>
    <w:rsid w:val="22CA3922"/>
    <w:rsid w:val="22F83FEB"/>
    <w:rsid w:val="236324FC"/>
    <w:rsid w:val="236B0C61"/>
    <w:rsid w:val="23CB16FF"/>
    <w:rsid w:val="23DA5DE6"/>
    <w:rsid w:val="247052C5"/>
    <w:rsid w:val="24F904EE"/>
    <w:rsid w:val="251F61A7"/>
    <w:rsid w:val="256B13EC"/>
    <w:rsid w:val="25F0369F"/>
    <w:rsid w:val="2650617A"/>
    <w:rsid w:val="266D62A5"/>
    <w:rsid w:val="26B172D2"/>
    <w:rsid w:val="26F176CF"/>
    <w:rsid w:val="27111B1F"/>
    <w:rsid w:val="27912C60"/>
    <w:rsid w:val="28665E9B"/>
    <w:rsid w:val="287405B8"/>
    <w:rsid w:val="2A2C6C70"/>
    <w:rsid w:val="2AEF2177"/>
    <w:rsid w:val="2B526F79"/>
    <w:rsid w:val="2BC41856"/>
    <w:rsid w:val="2C4D184B"/>
    <w:rsid w:val="2CAB47C4"/>
    <w:rsid w:val="2D4E7F5A"/>
    <w:rsid w:val="2D727090"/>
    <w:rsid w:val="2E494294"/>
    <w:rsid w:val="2E7A444E"/>
    <w:rsid w:val="2EE1627B"/>
    <w:rsid w:val="2F48454C"/>
    <w:rsid w:val="2FF10740"/>
    <w:rsid w:val="2FF87D20"/>
    <w:rsid w:val="30466CDD"/>
    <w:rsid w:val="30CB0F91"/>
    <w:rsid w:val="31CA56EC"/>
    <w:rsid w:val="325E5003"/>
    <w:rsid w:val="32C91500"/>
    <w:rsid w:val="335039CF"/>
    <w:rsid w:val="33A04957"/>
    <w:rsid w:val="341964B7"/>
    <w:rsid w:val="34256C0A"/>
    <w:rsid w:val="34313801"/>
    <w:rsid w:val="34390907"/>
    <w:rsid w:val="34A83C01"/>
    <w:rsid w:val="34B85CD0"/>
    <w:rsid w:val="34BD32E6"/>
    <w:rsid w:val="34E6283D"/>
    <w:rsid w:val="35293FF4"/>
    <w:rsid w:val="35727C2D"/>
    <w:rsid w:val="35FE5964"/>
    <w:rsid w:val="368A544A"/>
    <w:rsid w:val="36B83D65"/>
    <w:rsid w:val="36D37FE4"/>
    <w:rsid w:val="37BF7375"/>
    <w:rsid w:val="3862667F"/>
    <w:rsid w:val="39363667"/>
    <w:rsid w:val="397C551E"/>
    <w:rsid w:val="39D76BF8"/>
    <w:rsid w:val="3AB00FEB"/>
    <w:rsid w:val="3AB637AA"/>
    <w:rsid w:val="3ADC30AF"/>
    <w:rsid w:val="3AE07D2F"/>
    <w:rsid w:val="3AF31810"/>
    <w:rsid w:val="3B4F0A10"/>
    <w:rsid w:val="3B651FE2"/>
    <w:rsid w:val="3B8D734A"/>
    <w:rsid w:val="3B9F3746"/>
    <w:rsid w:val="3BDC6748"/>
    <w:rsid w:val="3BE455FD"/>
    <w:rsid w:val="3BED0692"/>
    <w:rsid w:val="3C4D31A2"/>
    <w:rsid w:val="3C667DC0"/>
    <w:rsid w:val="3CAB7EC8"/>
    <w:rsid w:val="3CF63839"/>
    <w:rsid w:val="3DE64954"/>
    <w:rsid w:val="3E1675C3"/>
    <w:rsid w:val="3E377C66"/>
    <w:rsid w:val="3E530817"/>
    <w:rsid w:val="3E6842C3"/>
    <w:rsid w:val="3EC11C25"/>
    <w:rsid w:val="400320AA"/>
    <w:rsid w:val="41764F49"/>
    <w:rsid w:val="437E00E5"/>
    <w:rsid w:val="438751EB"/>
    <w:rsid w:val="44994716"/>
    <w:rsid w:val="454A366E"/>
    <w:rsid w:val="45B364CC"/>
    <w:rsid w:val="45C5024D"/>
    <w:rsid w:val="45E561F9"/>
    <w:rsid w:val="46243B8D"/>
    <w:rsid w:val="470F5CCD"/>
    <w:rsid w:val="474932EC"/>
    <w:rsid w:val="47520B7E"/>
    <w:rsid w:val="47533CF9"/>
    <w:rsid w:val="47670527"/>
    <w:rsid w:val="47D06A35"/>
    <w:rsid w:val="47F60B91"/>
    <w:rsid w:val="4869741C"/>
    <w:rsid w:val="487A3570"/>
    <w:rsid w:val="48A028AB"/>
    <w:rsid w:val="48BB76E5"/>
    <w:rsid w:val="48CC18F2"/>
    <w:rsid w:val="48F52BF7"/>
    <w:rsid w:val="491640F8"/>
    <w:rsid w:val="49C62EFC"/>
    <w:rsid w:val="49ED1B20"/>
    <w:rsid w:val="4A11580F"/>
    <w:rsid w:val="4A194D6D"/>
    <w:rsid w:val="4A5920D5"/>
    <w:rsid w:val="4B1013B2"/>
    <w:rsid w:val="4B3519D1"/>
    <w:rsid w:val="4B685902"/>
    <w:rsid w:val="4BEA27BB"/>
    <w:rsid w:val="4C20442F"/>
    <w:rsid w:val="4C341C88"/>
    <w:rsid w:val="4CF60CEC"/>
    <w:rsid w:val="4D02510B"/>
    <w:rsid w:val="4D5B00A8"/>
    <w:rsid w:val="4D671BE9"/>
    <w:rsid w:val="4EB42C0C"/>
    <w:rsid w:val="4EC015B1"/>
    <w:rsid w:val="4ED27537"/>
    <w:rsid w:val="4F55619D"/>
    <w:rsid w:val="502B33A2"/>
    <w:rsid w:val="50D457E8"/>
    <w:rsid w:val="512322CB"/>
    <w:rsid w:val="517F39A6"/>
    <w:rsid w:val="518014CC"/>
    <w:rsid w:val="51A27694"/>
    <w:rsid w:val="51B66C9C"/>
    <w:rsid w:val="51C07B1A"/>
    <w:rsid w:val="51D35A9F"/>
    <w:rsid w:val="523A5B1F"/>
    <w:rsid w:val="52A5743C"/>
    <w:rsid w:val="52C45EC1"/>
    <w:rsid w:val="53620E89"/>
    <w:rsid w:val="53A5346C"/>
    <w:rsid w:val="53B12C1B"/>
    <w:rsid w:val="54BA4CF5"/>
    <w:rsid w:val="54CB0D44"/>
    <w:rsid w:val="54D77655"/>
    <w:rsid w:val="555C69FB"/>
    <w:rsid w:val="55EC35D4"/>
    <w:rsid w:val="560C77D2"/>
    <w:rsid w:val="56312D95"/>
    <w:rsid w:val="5648428C"/>
    <w:rsid w:val="568173F1"/>
    <w:rsid w:val="57F549C2"/>
    <w:rsid w:val="58FC1D80"/>
    <w:rsid w:val="593B28A8"/>
    <w:rsid w:val="594D25DB"/>
    <w:rsid w:val="59FD7B5D"/>
    <w:rsid w:val="5A2C61B3"/>
    <w:rsid w:val="5A9304C2"/>
    <w:rsid w:val="5B2335F4"/>
    <w:rsid w:val="5B5639C9"/>
    <w:rsid w:val="5C4F0418"/>
    <w:rsid w:val="5C814A76"/>
    <w:rsid w:val="5C89316F"/>
    <w:rsid w:val="5CB564CD"/>
    <w:rsid w:val="5CB62246"/>
    <w:rsid w:val="5D436536"/>
    <w:rsid w:val="5D656145"/>
    <w:rsid w:val="5D7A7717"/>
    <w:rsid w:val="5D8660BC"/>
    <w:rsid w:val="5DA84284"/>
    <w:rsid w:val="5E023F44"/>
    <w:rsid w:val="5E2751A9"/>
    <w:rsid w:val="5E4E6BDA"/>
    <w:rsid w:val="5E8048B9"/>
    <w:rsid w:val="5EA54320"/>
    <w:rsid w:val="5ED115B9"/>
    <w:rsid w:val="5ED703EC"/>
    <w:rsid w:val="5F3926B3"/>
    <w:rsid w:val="5F887EC9"/>
    <w:rsid w:val="5FD72BFF"/>
    <w:rsid w:val="6019157F"/>
    <w:rsid w:val="60B92304"/>
    <w:rsid w:val="60E432B2"/>
    <w:rsid w:val="60F85A15"/>
    <w:rsid w:val="60FF065F"/>
    <w:rsid w:val="610572F8"/>
    <w:rsid w:val="61066BDF"/>
    <w:rsid w:val="610E08A2"/>
    <w:rsid w:val="612C6F7A"/>
    <w:rsid w:val="61923281"/>
    <w:rsid w:val="620054E5"/>
    <w:rsid w:val="628A2671"/>
    <w:rsid w:val="635A7DCF"/>
    <w:rsid w:val="63C33BC6"/>
    <w:rsid w:val="63C65464"/>
    <w:rsid w:val="64AD2180"/>
    <w:rsid w:val="660A5ADC"/>
    <w:rsid w:val="661324B7"/>
    <w:rsid w:val="66A31A8D"/>
    <w:rsid w:val="670349F7"/>
    <w:rsid w:val="67271725"/>
    <w:rsid w:val="6744501E"/>
    <w:rsid w:val="677227D3"/>
    <w:rsid w:val="69E542E2"/>
    <w:rsid w:val="6B861715"/>
    <w:rsid w:val="6BB74C7B"/>
    <w:rsid w:val="6C264C6B"/>
    <w:rsid w:val="6C3D64DF"/>
    <w:rsid w:val="6CF44DF0"/>
    <w:rsid w:val="6CFA1CDB"/>
    <w:rsid w:val="6D203E37"/>
    <w:rsid w:val="6DF80910"/>
    <w:rsid w:val="6F1D29F3"/>
    <w:rsid w:val="70161521"/>
    <w:rsid w:val="70194B6E"/>
    <w:rsid w:val="70B16D1D"/>
    <w:rsid w:val="72C62D8B"/>
    <w:rsid w:val="74387CB8"/>
    <w:rsid w:val="74793E2D"/>
    <w:rsid w:val="7544268D"/>
    <w:rsid w:val="7562508B"/>
    <w:rsid w:val="7568637B"/>
    <w:rsid w:val="760065B4"/>
    <w:rsid w:val="760342F6"/>
    <w:rsid w:val="762F6E99"/>
    <w:rsid w:val="76326989"/>
    <w:rsid w:val="76B31878"/>
    <w:rsid w:val="76D11CFE"/>
    <w:rsid w:val="771739AE"/>
    <w:rsid w:val="77C33D3D"/>
    <w:rsid w:val="784529A4"/>
    <w:rsid w:val="78647997"/>
    <w:rsid w:val="78A269EC"/>
    <w:rsid w:val="7A326F58"/>
    <w:rsid w:val="7A545120"/>
    <w:rsid w:val="7AA37E55"/>
    <w:rsid w:val="7AFC6D1B"/>
    <w:rsid w:val="7B8E6410"/>
    <w:rsid w:val="7B963516"/>
    <w:rsid w:val="7BA93249"/>
    <w:rsid w:val="7BF344C5"/>
    <w:rsid w:val="7C283B6C"/>
    <w:rsid w:val="7C3A1463"/>
    <w:rsid w:val="7C480CB4"/>
    <w:rsid w:val="7D1E1A15"/>
    <w:rsid w:val="7DF47D52"/>
    <w:rsid w:val="7DFA7D8C"/>
    <w:rsid w:val="7F127358"/>
    <w:rsid w:val="7F4F075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黑体" w:hAnsi="黑体" w:eastAsia="黑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无间隔1"/>
    <w:basedOn w:val="1"/>
    <w:next w:val="3"/>
    <w:qFormat/>
    <w:uiPriority w:val="0"/>
    <w:pPr>
      <w:widowControl/>
      <w:ind w:firstLine="200" w:firstLineChars="200"/>
      <w:jc w:val="left"/>
    </w:pPr>
    <w:rPr>
      <w:rFonts w:ascii="Times New Roman" w:hAnsi="Times New Roman"/>
      <w:color w:val="000000"/>
      <w:kern w:val="0"/>
      <w:sz w:val="24"/>
    </w:rPr>
  </w:style>
  <w:style w:type="paragraph" w:customStyle="1" w:styleId="3">
    <w:name w:val="Default"/>
    <w:basedOn w:val="1"/>
    <w:qFormat/>
    <w:uiPriority w:val="0"/>
    <w:pPr>
      <w:autoSpaceDE w:val="0"/>
      <w:autoSpaceDN w:val="0"/>
      <w:adjustRightInd w:val="0"/>
      <w:jc w:val="left"/>
    </w:pPr>
    <w:rPr>
      <w:rFonts w:ascii="黑体" w:hAnsi="Times New Roman" w:eastAsia="黑体" w:cs="宋体"/>
      <w:color w:val="000000"/>
      <w:kern w:val="0"/>
      <w:sz w:val="24"/>
    </w:rPr>
  </w:style>
  <w:style w:type="paragraph" w:styleId="4">
    <w:name w:val="Plain Text"/>
    <w:basedOn w:val="1"/>
    <w:qFormat/>
    <w:uiPriority w:val="0"/>
    <w:pPr>
      <w:widowControl/>
      <w:spacing w:before="100" w:beforeAutospacing="1" w:after="100" w:afterAutospacing="1"/>
      <w:jc w:val="left"/>
    </w:pPr>
    <w:rPr>
      <w:rFonts w:hint="eastAsia" w:ascii="Arial Unicode MS" w:hAnsi="Arial Unicode MS" w:eastAsia="Arial Unicode MS" w:cs="Arial Unicode MS"/>
      <w:kern w:val="0"/>
      <w:sz w:val="24"/>
    </w:rPr>
  </w:style>
  <w:style w:type="paragraph" w:styleId="5">
    <w:name w:val="Balloon Text"/>
    <w:basedOn w:val="1"/>
    <w:link w:val="15"/>
    <w:semiHidden/>
    <w:unhideWhenUsed/>
    <w:qFormat/>
    <w:uiPriority w:val="99"/>
    <w:rPr>
      <w:sz w:val="18"/>
      <w:szCs w:val="18"/>
    </w:rPr>
  </w:style>
  <w:style w:type="paragraph" w:styleId="6">
    <w:name w:val="footer"/>
    <w:basedOn w:val="1"/>
    <w:link w:val="12"/>
    <w:semiHidden/>
    <w:unhideWhenUsed/>
    <w:qFormat/>
    <w:uiPriority w:val="99"/>
    <w:pPr>
      <w:tabs>
        <w:tab w:val="center" w:pos="4153"/>
        <w:tab w:val="right" w:pos="8306"/>
      </w:tabs>
      <w:snapToGrid w:val="0"/>
      <w:jc w:val="left"/>
    </w:pPr>
    <w:rPr>
      <w:sz w:val="18"/>
      <w:szCs w:val="18"/>
    </w:rPr>
  </w:style>
  <w:style w:type="paragraph" w:styleId="7">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character" w:customStyle="1" w:styleId="11">
    <w:name w:val="页眉 Char"/>
    <w:basedOn w:val="10"/>
    <w:link w:val="7"/>
    <w:semiHidden/>
    <w:qFormat/>
    <w:uiPriority w:val="99"/>
    <w:rPr>
      <w:sz w:val="18"/>
      <w:szCs w:val="18"/>
    </w:rPr>
  </w:style>
  <w:style w:type="character" w:customStyle="1" w:styleId="12">
    <w:name w:val="页脚 Char"/>
    <w:basedOn w:val="10"/>
    <w:link w:val="6"/>
    <w:semiHidden/>
    <w:qFormat/>
    <w:uiPriority w:val="99"/>
    <w:rPr>
      <w:sz w:val="18"/>
      <w:szCs w:val="18"/>
    </w:rPr>
  </w:style>
  <w:style w:type="paragraph" w:styleId="13">
    <w:name w:val="List Paragraph"/>
    <w:basedOn w:val="1"/>
    <w:qFormat/>
    <w:uiPriority w:val="34"/>
    <w:pPr>
      <w:ind w:firstLine="420" w:firstLineChars="200"/>
    </w:pPr>
  </w:style>
  <w:style w:type="paragraph" w:styleId="14">
    <w:name w:val="No Spacing"/>
    <w:qFormat/>
    <w:uiPriority w:val="1"/>
    <w:pPr>
      <w:adjustRightInd w:val="0"/>
      <w:snapToGrid w:val="0"/>
    </w:pPr>
    <w:rPr>
      <w:rFonts w:ascii="Tahoma" w:hAnsi="Tahoma" w:eastAsia="微软雅黑" w:cs="Times New Roman"/>
      <w:sz w:val="22"/>
      <w:szCs w:val="22"/>
      <w:lang w:val="en-US" w:eastAsia="zh-CN" w:bidi="ar-SA"/>
    </w:rPr>
  </w:style>
  <w:style w:type="character" w:customStyle="1" w:styleId="15">
    <w:name w:val="批注框文本 Char"/>
    <w:basedOn w:val="10"/>
    <w:link w:val="5"/>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微软公司</Company>
  <Pages>10</Pages>
  <Words>5318</Words>
  <Characters>5398</Characters>
  <Lines>37</Lines>
  <Paragraphs>10</Paragraphs>
  <TotalTime>0</TotalTime>
  <ScaleCrop>false</ScaleCrop>
  <LinksUpToDate>false</LinksUpToDate>
  <CharactersWithSpaces>5407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2023-11-08T02:46:00Z</dcterms:created>
  <dc:creator>微软用户</dc:creator>
  <cp:lastModifiedBy>WPS_1642638959</cp:lastModifiedBy>
  <cp:lastPrinted>2023-11-12T07:02:00Z</cp:lastPrinted>
  <dcterms:modified xsi:type="dcterms:W3CDTF">2025-01-06T00:47:59Z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A00F960BEB8347E7B7C8D398E9F277A1</vt:lpwstr>
  </property>
  <property fmtid="{D5CDD505-2E9C-101B-9397-08002B2CF9AE}" pid="4" name="KSOTemplateDocerSaveRecord">
    <vt:lpwstr>eyJoZGlkIjoiNmU1YWFmMDYyODUyNjUwNDYwYjFiNjhkYzY4YWI4MTUiLCJ1c2VySWQiOiIxMzE5MzQ5NDgxIn0=</vt:lpwstr>
  </property>
</Properties>
</file>