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19EC4">
      <w:pPr>
        <w:overflowPunct w:val="0"/>
        <w:autoSpaceDE w:val="0"/>
        <w:autoSpaceDN w:val="0"/>
        <w:spacing w:line="570" w:lineRule="exact"/>
        <w:jc w:val="center"/>
        <w:rPr>
          <w:rFonts w:hint="eastAsia"/>
          <w:spacing w:val="-1"/>
          <w:sz w:val="48"/>
        </w:rPr>
      </w:pPr>
    </w:p>
    <w:p w14:paraId="04B045D7">
      <w:pPr>
        <w:overflowPunct w:val="0"/>
        <w:autoSpaceDE w:val="0"/>
        <w:autoSpaceDN w:val="0"/>
        <w:spacing w:line="570" w:lineRule="exact"/>
        <w:jc w:val="center"/>
        <w:rPr>
          <w:rFonts w:hint="eastAsia"/>
          <w:spacing w:val="-1"/>
          <w:sz w:val="48"/>
        </w:rPr>
      </w:pPr>
    </w:p>
    <w:p w14:paraId="649C3407">
      <w:pPr>
        <w:overflowPunct w:val="0"/>
        <w:autoSpaceDE w:val="0"/>
        <w:autoSpaceDN w:val="0"/>
        <w:spacing w:line="570" w:lineRule="exact"/>
        <w:jc w:val="center"/>
        <w:rPr>
          <w:rFonts w:hint="eastAsia"/>
          <w:spacing w:val="-1"/>
          <w:sz w:val="48"/>
        </w:rPr>
      </w:pPr>
    </w:p>
    <w:p w14:paraId="398F472B">
      <w:pPr>
        <w:overflowPunct w:val="0"/>
        <w:autoSpaceDE w:val="0"/>
        <w:autoSpaceDN w:val="0"/>
        <w:spacing w:line="570" w:lineRule="exact"/>
        <w:jc w:val="center"/>
        <w:rPr>
          <w:rFonts w:hint="eastAsia" w:ascii="方正小标宋简体" w:eastAsia="方正小标宋简体"/>
          <w:sz w:val="48"/>
        </w:rPr>
      </w:pPr>
      <w:r>
        <w:rPr>
          <w:rFonts w:hint="eastAsia" w:ascii="方正小标宋简体" w:eastAsia="方正小标宋简体"/>
          <w:spacing w:val="-1"/>
          <w:sz w:val="46"/>
          <w:szCs w:val="46"/>
          <w:lang w:val="en-US" w:eastAsia="zh-CN"/>
        </w:rPr>
        <w:t>2025</w:t>
      </w:r>
      <w:r>
        <w:rPr>
          <w:rFonts w:hint="eastAsia" w:ascii="方正小标宋简体" w:hAnsi="OLIIDN+FZXiaoBiaoSong-B05" w:eastAsia="方正小标宋简体" w:cs="OLIIDN+FZXiaoBiaoSong-B05"/>
          <w:sz w:val="46"/>
          <w:szCs w:val="46"/>
        </w:rPr>
        <w:t>年常州市</w:t>
      </w:r>
      <w:r>
        <w:rPr>
          <w:rFonts w:hint="eastAsia" w:ascii="方正小标宋简体" w:hAnsi="OLIIDN+FZXiaoBiaoSong-B05" w:eastAsia="方正小标宋简体" w:cs="OLIIDN+FZXiaoBiaoSong-B05"/>
          <w:sz w:val="46"/>
          <w:szCs w:val="46"/>
          <w:lang w:eastAsia="zh-CN"/>
        </w:rPr>
        <w:t>“</w:t>
      </w:r>
      <w:r>
        <w:rPr>
          <w:rFonts w:hint="eastAsia" w:ascii="方正小标宋简体" w:hAnsi="OLIIDN+FZXiaoBiaoSong-B05" w:eastAsia="方正小标宋简体" w:cs="OLIIDN+FZXiaoBiaoSong-B05"/>
          <w:sz w:val="46"/>
          <w:szCs w:val="46"/>
          <w:lang w:val="en-US" w:eastAsia="zh-CN"/>
        </w:rPr>
        <w:t>经开先锋</w:t>
      </w:r>
      <w:r>
        <w:rPr>
          <w:rFonts w:hint="eastAsia" w:ascii="方正小标宋简体" w:hAnsi="OLIIDN+FZXiaoBiaoSong-B05" w:eastAsia="方正小标宋简体" w:cs="OLIIDN+FZXiaoBiaoSong-B05"/>
          <w:sz w:val="46"/>
          <w:szCs w:val="46"/>
          <w:lang w:eastAsia="zh-CN"/>
        </w:rPr>
        <w:t>”</w:t>
      </w:r>
      <w:r>
        <w:rPr>
          <w:rFonts w:hint="eastAsia" w:ascii="方正小标宋简体" w:hAnsi="OLIIDN+FZXiaoBiaoSong-B05" w:eastAsia="方正小标宋简体" w:cs="OLIIDN+FZXiaoBiaoSong-B05"/>
          <w:sz w:val="46"/>
          <w:szCs w:val="46"/>
        </w:rPr>
        <w:t>职业技能竞赛</w:t>
      </w:r>
    </w:p>
    <w:p w14:paraId="24125824">
      <w:pPr>
        <w:overflowPunct w:val="0"/>
        <w:autoSpaceDE w:val="0"/>
        <w:autoSpaceDN w:val="0"/>
        <w:spacing w:before="240" w:line="570" w:lineRule="exact"/>
        <w:jc w:val="center"/>
        <w:rPr>
          <w:rFonts w:hint="eastAsia" w:ascii="方正小标宋简体" w:hAnsi="黑体" w:eastAsia="方正小标宋简体" w:cs="黑体"/>
          <w:spacing w:val="-1"/>
          <w:sz w:val="44"/>
        </w:rPr>
      </w:pPr>
      <w:r>
        <w:rPr>
          <w:rFonts w:hint="eastAsia" w:ascii="方正小标宋简体" w:eastAsia="方正小标宋简体"/>
          <w:spacing w:val="-1"/>
          <w:sz w:val="44"/>
          <w:lang w:val="en-US" w:eastAsia="zh-CN"/>
        </w:rPr>
        <w:t>工业机器人系统运维员</w:t>
      </w:r>
      <w:r>
        <w:rPr>
          <w:rFonts w:hint="eastAsia" w:ascii="方正小标宋简体" w:hAnsi="黑体" w:eastAsia="方正小标宋简体" w:cs="黑体"/>
          <w:sz w:val="44"/>
        </w:rPr>
        <w:t>项目（</w:t>
      </w:r>
      <w:r>
        <w:rPr>
          <w:rFonts w:hint="eastAsia" w:ascii="方正小标宋简体" w:hAnsi="黑体" w:eastAsia="方正小标宋简体" w:cs="黑体"/>
          <w:sz w:val="44"/>
          <w:lang w:val="en-US" w:eastAsia="zh-CN"/>
        </w:rPr>
        <w:t>职工</w:t>
      </w:r>
      <w:r>
        <w:rPr>
          <w:rFonts w:hint="eastAsia" w:ascii="方正小标宋简体" w:hAnsi="黑体" w:eastAsia="方正小标宋简体" w:cs="黑体"/>
          <w:spacing w:val="-1"/>
          <w:sz w:val="44"/>
        </w:rPr>
        <w:t>组）</w:t>
      </w:r>
    </w:p>
    <w:p w14:paraId="01C64990">
      <w:pPr>
        <w:overflowPunct w:val="0"/>
        <w:autoSpaceDE w:val="0"/>
        <w:autoSpaceDN w:val="0"/>
        <w:spacing w:line="570" w:lineRule="exact"/>
        <w:jc w:val="center"/>
        <w:rPr>
          <w:rFonts w:hint="eastAsia"/>
          <w:sz w:val="44"/>
        </w:rPr>
      </w:pPr>
    </w:p>
    <w:p w14:paraId="22A056C6">
      <w:pPr>
        <w:overflowPunct w:val="0"/>
        <w:autoSpaceDE w:val="0"/>
        <w:autoSpaceDN w:val="0"/>
        <w:spacing w:line="570" w:lineRule="exact"/>
        <w:jc w:val="center"/>
        <w:rPr>
          <w:rFonts w:hint="eastAsia"/>
          <w:sz w:val="44"/>
        </w:rPr>
      </w:pPr>
    </w:p>
    <w:p w14:paraId="53E52505">
      <w:pPr>
        <w:overflowPunct w:val="0"/>
        <w:autoSpaceDE w:val="0"/>
        <w:autoSpaceDN w:val="0"/>
        <w:spacing w:line="570" w:lineRule="exact"/>
        <w:jc w:val="center"/>
        <w:rPr>
          <w:rFonts w:hint="eastAsia"/>
          <w:sz w:val="44"/>
        </w:rPr>
      </w:pPr>
    </w:p>
    <w:p w14:paraId="4244061A">
      <w:pPr>
        <w:overflowPunct w:val="0"/>
        <w:autoSpaceDE w:val="0"/>
        <w:autoSpaceDN w:val="0"/>
        <w:spacing w:line="570" w:lineRule="exact"/>
        <w:jc w:val="center"/>
        <w:rPr>
          <w:sz w:val="44"/>
        </w:rPr>
      </w:pPr>
    </w:p>
    <w:p w14:paraId="41806580">
      <w:pPr>
        <w:overflowPunct w:val="0"/>
        <w:autoSpaceDE w:val="0"/>
        <w:autoSpaceDN w:val="0"/>
        <w:spacing w:line="570" w:lineRule="exact"/>
        <w:jc w:val="center"/>
        <w:rPr>
          <w:rFonts w:hint="eastAsia" w:ascii="方正小标宋简体" w:hAnsi="黑体" w:eastAsia="方正小标宋简体" w:cs="黑体"/>
          <w:sz w:val="48"/>
        </w:rPr>
      </w:pPr>
      <w:r>
        <w:rPr>
          <w:rFonts w:hint="eastAsia" w:ascii="方正小标宋简体" w:hAnsi="黑体" w:eastAsia="方正小标宋简体" w:cs="黑体"/>
          <w:sz w:val="48"/>
        </w:rPr>
        <w:t>技 术 文 件</w:t>
      </w:r>
    </w:p>
    <w:p w14:paraId="5C37CC7F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eastAsia="方正仿宋_GBK"/>
          <w:sz w:val="32"/>
          <w:szCs w:val="32"/>
        </w:rPr>
      </w:pPr>
    </w:p>
    <w:p w14:paraId="4D7D9986">
      <w:pPr>
        <w:overflowPunct w:val="0"/>
        <w:autoSpaceDE w:val="0"/>
        <w:autoSpaceDN w:val="0"/>
        <w:spacing w:line="570" w:lineRule="exact"/>
        <w:jc w:val="center"/>
        <w:rPr>
          <w:rFonts w:ascii="仿宋_GB2312" w:hAnsi="仿宋" w:eastAsia="仿宋_GB2312"/>
          <w:sz w:val="32"/>
          <w:szCs w:val="32"/>
        </w:rPr>
      </w:pPr>
    </w:p>
    <w:p w14:paraId="65CCBA4A">
      <w:pPr>
        <w:overflowPunct w:val="0"/>
        <w:autoSpaceDE w:val="0"/>
        <w:autoSpaceDN w:val="0"/>
        <w:spacing w:line="560" w:lineRule="exact"/>
        <w:rPr>
          <w:rFonts w:ascii="仿宋_GB2312" w:hAnsi="仿宋" w:eastAsia="仿宋_GB2312"/>
          <w:sz w:val="32"/>
          <w:szCs w:val="32"/>
        </w:rPr>
      </w:pPr>
    </w:p>
    <w:p w14:paraId="19A38374">
      <w:pPr>
        <w:overflowPunct w:val="0"/>
        <w:autoSpaceDE w:val="0"/>
        <w:autoSpaceDN w:val="0"/>
        <w:spacing w:line="560" w:lineRule="exact"/>
        <w:rPr>
          <w:rFonts w:ascii="仿宋_GB2312" w:hAnsi="仿宋" w:eastAsia="仿宋_GB2312"/>
          <w:sz w:val="32"/>
          <w:szCs w:val="32"/>
        </w:rPr>
      </w:pPr>
    </w:p>
    <w:p w14:paraId="0A23F20D">
      <w:pPr>
        <w:overflowPunct w:val="0"/>
        <w:autoSpaceDE w:val="0"/>
        <w:autoSpaceDN w:val="0"/>
        <w:spacing w:line="560" w:lineRule="exact"/>
        <w:rPr>
          <w:rFonts w:ascii="仿宋_GB2312" w:hAnsi="仿宋" w:eastAsia="仿宋_GB2312"/>
          <w:sz w:val="32"/>
          <w:szCs w:val="32"/>
        </w:rPr>
      </w:pPr>
    </w:p>
    <w:p w14:paraId="63C7D084">
      <w:pPr>
        <w:overflowPunct w:val="0"/>
        <w:autoSpaceDE w:val="0"/>
        <w:autoSpaceDN w:val="0"/>
        <w:spacing w:line="560" w:lineRule="exact"/>
        <w:rPr>
          <w:rFonts w:ascii="仿宋_GB2312" w:hAnsi="仿宋" w:eastAsia="仿宋_GB2312"/>
          <w:sz w:val="32"/>
          <w:szCs w:val="32"/>
        </w:rPr>
      </w:pPr>
    </w:p>
    <w:p w14:paraId="69F192E6">
      <w:pPr>
        <w:overflowPunct w:val="0"/>
        <w:autoSpaceDE w:val="0"/>
        <w:autoSpaceDN w:val="0"/>
        <w:spacing w:line="560" w:lineRule="exact"/>
        <w:rPr>
          <w:rFonts w:ascii="仿宋_GB2312" w:hAnsi="仿宋" w:eastAsia="仿宋_GB2312"/>
          <w:sz w:val="32"/>
          <w:szCs w:val="32"/>
        </w:rPr>
      </w:pPr>
    </w:p>
    <w:p w14:paraId="22F96698">
      <w:pPr>
        <w:overflowPunct w:val="0"/>
        <w:autoSpaceDE w:val="0"/>
        <w:autoSpaceDN w:val="0"/>
        <w:spacing w:line="560" w:lineRule="exact"/>
        <w:rPr>
          <w:rFonts w:ascii="仿宋_GB2312" w:hAnsi="仿宋" w:eastAsia="仿宋_GB2312"/>
          <w:sz w:val="32"/>
          <w:szCs w:val="32"/>
        </w:rPr>
      </w:pPr>
    </w:p>
    <w:p w14:paraId="18F4C1D2">
      <w:pPr>
        <w:overflowPunct w:val="0"/>
        <w:autoSpaceDE w:val="0"/>
        <w:autoSpaceDN w:val="0"/>
        <w:spacing w:line="560" w:lineRule="exact"/>
        <w:rPr>
          <w:rFonts w:ascii="仿宋_GB2312" w:hAnsi="仿宋" w:eastAsia="仿宋_GB2312"/>
          <w:sz w:val="32"/>
          <w:szCs w:val="32"/>
        </w:rPr>
      </w:pPr>
    </w:p>
    <w:p w14:paraId="01273B54">
      <w:pPr>
        <w:overflowPunct w:val="0"/>
        <w:autoSpaceDE w:val="0"/>
        <w:autoSpaceDN w:val="0"/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br w:type="page"/>
      </w:r>
    </w:p>
    <w:p w14:paraId="19C5067F">
      <w:pPr>
        <w:overflowPunct w:val="0"/>
        <w:autoSpaceDE w:val="0"/>
        <w:autoSpaceDN w:val="0"/>
        <w:spacing w:line="0" w:lineRule="atLeast"/>
        <w:jc w:val="left"/>
        <w:rPr>
          <w:rFonts w:ascii="Arial"/>
          <w:sz w:val="2"/>
        </w:rPr>
      </w:pPr>
    </w:p>
    <w:p w14:paraId="31AA449E">
      <w:pPr>
        <w:overflowPunct w:val="0"/>
        <w:autoSpaceDE w:val="0"/>
        <w:autoSpaceDN w:val="0"/>
        <w:spacing w:line="570" w:lineRule="exact"/>
        <w:jc w:val="center"/>
        <w:rPr>
          <w:rFonts w:hint="eastAsia" w:ascii="方正小标宋简体" w:hAnsi="NOGRPJ+FZHei-B01" w:eastAsia="方正小标宋简体" w:cs="NOGRPJ+FZHei-B01"/>
          <w:sz w:val="44"/>
        </w:rPr>
      </w:pPr>
      <w:bookmarkStart w:id="0" w:name="br14"/>
      <w:bookmarkEnd w:id="0"/>
      <w:r>
        <w:rPr>
          <w:rFonts w:hint="eastAsia" w:ascii="方正小标宋简体" w:hAnsi="NOGRPJ+FZHei-B01" w:eastAsia="方正小标宋简体" w:cs="NOGRPJ+FZHei-B01"/>
          <w:sz w:val="44"/>
        </w:rPr>
        <w:t>目    录</w:t>
      </w:r>
    </w:p>
    <w:p w14:paraId="3A166D39">
      <w:pPr>
        <w:overflowPunct w:val="0"/>
        <w:autoSpaceDE w:val="0"/>
        <w:autoSpaceDN w:val="0"/>
        <w:spacing w:line="570" w:lineRule="exact"/>
        <w:jc w:val="center"/>
        <w:rPr>
          <w:rFonts w:hint="eastAsia" w:ascii="方正小标宋简体" w:eastAsia="方正小标宋简体"/>
          <w:sz w:val="44"/>
        </w:rPr>
      </w:pPr>
    </w:p>
    <w:p w14:paraId="473CAC5C">
      <w:pPr>
        <w:overflowPunct w:val="0"/>
        <w:autoSpaceDE w:val="0"/>
        <w:autoSpaceDN w:val="0"/>
        <w:spacing w:line="570" w:lineRule="exact"/>
        <w:ind w:firstLine="641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一、编制依据</w:t>
      </w:r>
    </w:p>
    <w:p w14:paraId="632B8D24">
      <w:pPr>
        <w:overflowPunct w:val="0"/>
        <w:autoSpaceDE w:val="0"/>
        <w:autoSpaceDN w:val="0"/>
        <w:spacing w:line="570" w:lineRule="exact"/>
        <w:ind w:firstLine="641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二、技术描述</w:t>
      </w:r>
    </w:p>
    <w:p w14:paraId="57BC907A">
      <w:pPr>
        <w:overflowPunct w:val="0"/>
        <w:autoSpaceDE w:val="0"/>
        <w:autoSpaceDN w:val="0"/>
        <w:spacing w:line="570" w:lineRule="exact"/>
        <w:ind w:firstLine="641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三、技术纲要</w:t>
      </w:r>
    </w:p>
    <w:p w14:paraId="2E91664D">
      <w:pPr>
        <w:overflowPunct w:val="0"/>
        <w:autoSpaceDE w:val="0"/>
        <w:autoSpaceDN w:val="0"/>
        <w:spacing w:line="570" w:lineRule="exact"/>
        <w:ind w:firstLine="641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四、场地设施设备简述</w:t>
      </w:r>
    </w:p>
    <w:p w14:paraId="730C57B7">
      <w:pPr>
        <w:overflowPunct w:val="0"/>
        <w:autoSpaceDE w:val="0"/>
        <w:autoSpaceDN w:val="0"/>
        <w:spacing w:line="570" w:lineRule="exact"/>
        <w:ind w:firstLine="641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五、技术团队组成人员</w:t>
      </w:r>
    </w:p>
    <w:p w14:paraId="771E5DFA">
      <w:pPr>
        <w:overflowPunct w:val="0"/>
        <w:autoSpaceDE w:val="0"/>
        <w:autoSpaceDN w:val="0"/>
        <w:spacing w:line="570" w:lineRule="exact"/>
        <w:ind w:firstLine="641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六、纪律要求</w:t>
      </w:r>
    </w:p>
    <w:p w14:paraId="329CDE30">
      <w:pPr>
        <w:overflowPunct w:val="0"/>
        <w:autoSpaceDE w:val="0"/>
        <w:autoSpaceDN w:val="0"/>
        <w:spacing w:line="570" w:lineRule="exact"/>
        <w:ind w:firstLine="641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七、题库</w:t>
      </w:r>
    </w:p>
    <w:p w14:paraId="3F969877">
      <w:pPr>
        <w:overflowPunct w:val="0"/>
        <w:autoSpaceDE w:val="0"/>
        <w:autoSpaceDN w:val="0"/>
        <w:spacing w:line="560" w:lineRule="exact"/>
        <w:ind w:firstLine="641"/>
        <w:rPr>
          <w:rFonts w:ascii="黑体" w:hAnsi="黑体" w:eastAsia="黑体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br w:type="page"/>
      </w:r>
      <w:r>
        <w:rPr>
          <w:rFonts w:ascii="黑体" w:hAnsi="黑体" w:eastAsia="黑体"/>
          <w:sz w:val="32"/>
          <w:szCs w:val="32"/>
        </w:rPr>
        <w:t>一、编制依据</w:t>
      </w:r>
    </w:p>
    <w:p w14:paraId="77997156">
      <w:pPr>
        <w:pStyle w:val="11"/>
        <w:overflowPunct w:val="0"/>
        <w:autoSpaceDE w:val="0"/>
        <w:autoSpaceDN w:val="0"/>
        <w:adjustRightInd w:val="0"/>
        <w:snapToGrid w:val="0"/>
        <w:spacing w:line="57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本技术文件以</w:t>
      </w:r>
      <w:r>
        <w:rPr>
          <w:rFonts w:hint="eastAsia" w:eastAsia="仿宋_GB2312"/>
          <w:sz w:val="32"/>
          <w:szCs w:val="32"/>
          <w:lang w:val="en-US" w:eastAsia="zh-CN"/>
        </w:rPr>
        <w:t>工业机器人系统运维员</w:t>
      </w:r>
      <w:r>
        <w:rPr>
          <w:rFonts w:eastAsia="仿宋_GB2312"/>
          <w:sz w:val="32"/>
          <w:szCs w:val="32"/>
        </w:rPr>
        <w:t>行业现状为背景，围绕该行业最新发展方向，对照</w:t>
      </w:r>
      <w:r>
        <w:rPr>
          <w:rFonts w:hint="eastAsia" w:eastAsia="仿宋_GB2312"/>
          <w:sz w:val="32"/>
          <w:szCs w:val="32"/>
          <w:lang w:val="en-US" w:eastAsia="zh-CN"/>
        </w:rPr>
        <w:t>工业机器人系统运维员</w:t>
      </w:r>
      <w:r>
        <w:rPr>
          <w:rFonts w:eastAsia="仿宋_GB2312"/>
          <w:sz w:val="32"/>
          <w:szCs w:val="32"/>
        </w:rPr>
        <w:t>国家职业标准（三级）的规定进行编制（竞赛内容应</w:t>
      </w:r>
      <w:r>
        <w:rPr>
          <w:rFonts w:eastAsia="仿宋_GB2312"/>
          <w:b/>
          <w:bCs/>
          <w:sz w:val="32"/>
          <w:szCs w:val="32"/>
        </w:rPr>
        <w:t>覆盖国家职业标准80%以上</w:t>
      </w:r>
      <w:r>
        <w:rPr>
          <w:rFonts w:eastAsia="仿宋_GB2312"/>
          <w:sz w:val="32"/>
          <w:szCs w:val="32"/>
        </w:rPr>
        <w:t>）。</w:t>
      </w:r>
    </w:p>
    <w:p w14:paraId="1F233936">
      <w:pPr>
        <w:pStyle w:val="11"/>
        <w:overflowPunct w:val="0"/>
        <w:autoSpaceDE w:val="0"/>
        <w:autoSpaceDN w:val="0"/>
        <w:adjustRightInd w:val="0"/>
        <w:snapToGrid w:val="0"/>
        <w:spacing w:line="57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二、技术描述</w:t>
      </w:r>
    </w:p>
    <w:p w14:paraId="3120FD71">
      <w:pPr>
        <w:pStyle w:val="11"/>
        <w:overflowPunct w:val="0"/>
        <w:autoSpaceDE w:val="0"/>
        <w:autoSpaceDN w:val="0"/>
        <w:adjustRightInd w:val="0"/>
        <w:snapToGrid w:val="0"/>
        <w:spacing w:line="570" w:lineRule="exact"/>
        <w:ind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（一）赛项概要</w:t>
      </w:r>
    </w:p>
    <w:p w14:paraId="3F827CEC">
      <w:pPr>
        <w:pStyle w:val="11"/>
        <w:overflowPunct w:val="0"/>
        <w:autoSpaceDE w:val="0"/>
        <w:autoSpaceDN w:val="0"/>
        <w:adjustRightInd w:val="0"/>
        <w:snapToGrid w:val="0"/>
        <w:spacing w:line="570" w:lineRule="exact"/>
        <w:ind w:firstLine="640"/>
        <w:rPr>
          <w:rFonts w:eastAsia="楷体_GB2312"/>
          <w:b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本赛项以国家人力资源与社会保障部制定的《工业机器人系统运维员国家职业技能标准（高级工）》2020 年版为依据，面向工业机器人系统运维员及相关职业人员，重点考察选手</w:t>
      </w:r>
      <w:r>
        <w:rPr>
          <w:rFonts w:hint="eastAsia" w:eastAsia="仿宋_GB2312"/>
          <w:sz w:val="32"/>
          <w:szCs w:val="32"/>
          <w:lang w:val="en-US" w:eastAsia="zh-CN"/>
        </w:rPr>
        <w:t>能合理</w:t>
      </w:r>
      <w:r>
        <w:rPr>
          <w:rFonts w:hint="eastAsia" w:eastAsia="仿宋_GB2312"/>
          <w:sz w:val="32"/>
          <w:szCs w:val="32"/>
        </w:rPr>
        <w:t>使用工具、量具、检测仪器及设备，对工业机器人、工业机器人工作站或系统进行数据采集、状态监测、故障分析与诊断、维修及预防性维护与保养作业的</w:t>
      </w:r>
      <w:r>
        <w:rPr>
          <w:rFonts w:hint="eastAsia" w:eastAsia="仿宋_GB2312"/>
          <w:sz w:val="32"/>
          <w:szCs w:val="32"/>
          <w:lang w:val="en-US" w:eastAsia="zh-CN"/>
        </w:rPr>
        <w:t>专业</w:t>
      </w:r>
      <w:r>
        <w:rPr>
          <w:rFonts w:hint="eastAsia" w:eastAsia="仿宋_GB2312"/>
          <w:sz w:val="32"/>
          <w:szCs w:val="32"/>
        </w:rPr>
        <w:t>人员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eastAsia="楷体_GB2312"/>
          <w:b/>
          <w:sz w:val="32"/>
          <w:szCs w:val="32"/>
        </w:rPr>
        <w:t>（二）能力特征</w:t>
      </w:r>
    </w:p>
    <w:p w14:paraId="1C8C9DD0">
      <w:pPr>
        <w:pStyle w:val="11"/>
        <w:overflowPunct w:val="0"/>
        <w:autoSpaceDE w:val="0"/>
        <w:autoSpaceDN w:val="0"/>
        <w:adjustRightInd w:val="0"/>
        <w:snapToGrid w:val="0"/>
        <w:spacing w:line="54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本赛项参赛选手应具有较强的学习、分析、逻辑、推理和判断能力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eastAsia="仿宋_GB2312"/>
          <w:sz w:val="32"/>
          <w:szCs w:val="32"/>
        </w:rPr>
        <w:t>具有较强的</w:t>
      </w:r>
      <w:r>
        <w:rPr>
          <w:rFonts w:hint="eastAsia" w:eastAsia="仿宋_GB2312"/>
          <w:sz w:val="32"/>
          <w:szCs w:val="32"/>
          <w:lang w:val="en-US" w:eastAsia="zh-CN"/>
        </w:rPr>
        <w:t>编程、运行、维护</w:t>
      </w:r>
      <w:r>
        <w:rPr>
          <w:rFonts w:eastAsia="仿宋_GB2312"/>
          <w:sz w:val="32"/>
          <w:szCs w:val="32"/>
        </w:rPr>
        <w:t>和</w:t>
      </w:r>
      <w:r>
        <w:rPr>
          <w:rFonts w:hint="eastAsia" w:eastAsia="仿宋_GB2312"/>
          <w:sz w:val="32"/>
          <w:szCs w:val="32"/>
          <w:lang w:val="en-US" w:eastAsia="zh-CN"/>
        </w:rPr>
        <w:t>检修</w:t>
      </w:r>
      <w:r>
        <w:rPr>
          <w:rFonts w:eastAsia="仿宋_GB2312"/>
          <w:sz w:val="32"/>
          <w:szCs w:val="32"/>
        </w:rPr>
        <w:t>能力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eastAsia="仿宋_GB2312"/>
          <w:sz w:val="32"/>
          <w:szCs w:val="32"/>
        </w:rPr>
        <w:t>具有较强的学习能力、理解能力、沟通能力、 分析能力、计算能力；具有较好的空间感，手指、手臂灵活，动作协调。</w:t>
      </w:r>
    </w:p>
    <w:p w14:paraId="08095363">
      <w:pPr>
        <w:pStyle w:val="11"/>
        <w:overflowPunct w:val="0"/>
        <w:autoSpaceDE w:val="0"/>
        <w:autoSpaceDN w:val="0"/>
        <w:adjustRightInd w:val="0"/>
        <w:snapToGrid w:val="0"/>
        <w:spacing w:line="54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三、技术纲要</w:t>
      </w:r>
    </w:p>
    <w:p w14:paraId="5DC201D2">
      <w:pPr>
        <w:pStyle w:val="11"/>
        <w:overflowPunct w:val="0"/>
        <w:autoSpaceDE w:val="0"/>
        <w:autoSpaceDN w:val="0"/>
        <w:adjustRightInd w:val="0"/>
        <w:snapToGrid w:val="0"/>
        <w:spacing w:line="540" w:lineRule="exact"/>
        <w:ind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（一）赛制</w:t>
      </w:r>
    </w:p>
    <w:p w14:paraId="0BC8A091">
      <w:pPr>
        <w:pStyle w:val="11"/>
        <w:overflowPunct w:val="0"/>
        <w:autoSpaceDE w:val="0"/>
        <w:autoSpaceDN w:val="0"/>
        <w:adjustRightInd w:val="0"/>
        <w:snapToGrid w:val="0"/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本赛项采用“单人赛制”。</w:t>
      </w:r>
    </w:p>
    <w:p w14:paraId="5D74CD77">
      <w:pPr>
        <w:pStyle w:val="11"/>
        <w:overflowPunct w:val="0"/>
        <w:autoSpaceDE w:val="0"/>
        <w:autoSpaceDN w:val="0"/>
        <w:adjustRightInd w:val="0"/>
        <w:snapToGrid w:val="0"/>
        <w:spacing w:line="540" w:lineRule="exact"/>
        <w:ind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（二）科目</w:t>
      </w:r>
    </w:p>
    <w:p w14:paraId="6C0E1F90">
      <w:pPr>
        <w:pStyle w:val="11"/>
        <w:overflowPunct w:val="0"/>
        <w:autoSpaceDE w:val="0"/>
        <w:autoSpaceDN w:val="0"/>
        <w:adjustRightInd w:val="0"/>
        <w:snapToGrid w:val="0"/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本赛项设“理论知识</w:t>
      </w:r>
      <w:r>
        <w:rPr>
          <w:rFonts w:hint="eastAsia" w:eastAsia="仿宋_GB2312"/>
          <w:sz w:val="32"/>
          <w:szCs w:val="32"/>
        </w:rPr>
        <w:t>”“</w:t>
      </w:r>
      <w:r>
        <w:rPr>
          <w:rFonts w:eastAsia="仿宋_GB2312"/>
          <w:sz w:val="32"/>
          <w:szCs w:val="32"/>
        </w:rPr>
        <w:t>操作技能”2个科目；“理论知识”科目考核时长为60分钟、“操作技能”科目考核时长为180分钟；“理论知识”科目满分为100分（60分以上合格）、“操作技能”科目满分为100分（60分以上合格）；总成绩按“</w:t>
      </w:r>
      <w:r>
        <w:rPr>
          <w:rFonts w:eastAsia="仿宋_GB2312"/>
          <w:b/>
          <w:bCs/>
          <w:sz w:val="32"/>
          <w:szCs w:val="32"/>
        </w:rPr>
        <w:t>理论知识科目成绩*20%+操作技能成绩*80%”计算得出</w:t>
      </w:r>
      <w:r>
        <w:rPr>
          <w:rFonts w:eastAsia="仿宋_GB2312"/>
          <w:sz w:val="32"/>
          <w:szCs w:val="32"/>
        </w:rPr>
        <w:t>，满分为100分。</w:t>
      </w:r>
    </w:p>
    <w:p w14:paraId="21A37310">
      <w:pPr>
        <w:pStyle w:val="11"/>
        <w:overflowPunct w:val="0"/>
        <w:autoSpaceDE w:val="0"/>
        <w:autoSpaceDN w:val="0"/>
        <w:adjustRightInd w:val="0"/>
        <w:snapToGrid w:val="0"/>
        <w:spacing w:line="570" w:lineRule="exact"/>
        <w:ind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</w:t>
      </w:r>
      <w:r>
        <w:rPr>
          <w:rFonts w:hint="eastAsia" w:eastAsia="楷体_GB2312"/>
          <w:b/>
          <w:sz w:val="32"/>
          <w:szCs w:val="32"/>
        </w:rPr>
        <w:t>三</w:t>
      </w:r>
      <w:r>
        <w:rPr>
          <w:rFonts w:eastAsia="楷体_GB2312"/>
          <w:b/>
          <w:sz w:val="32"/>
          <w:szCs w:val="32"/>
        </w:rPr>
        <w:t>）</w:t>
      </w:r>
      <w:r>
        <w:rPr>
          <w:rFonts w:hint="eastAsia" w:eastAsia="楷体_GB2312"/>
          <w:b/>
          <w:sz w:val="32"/>
          <w:szCs w:val="32"/>
        </w:rPr>
        <w:t>权重表</w:t>
      </w:r>
    </w:p>
    <w:tbl>
      <w:tblPr>
        <w:tblStyle w:val="6"/>
        <w:tblW w:w="5086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2016"/>
        <w:gridCol w:w="3395"/>
        <w:gridCol w:w="1641"/>
      </w:tblGrid>
      <w:tr w14:paraId="6F59C8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Align w:val="center"/>
          </w:tcPr>
          <w:p w14:paraId="1941E364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pacing w:val="-3"/>
                <w:position w:val="1"/>
                <w:sz w:val="24"/>
              </w:rPr>
              <w:t>科目</w:t>
            </w:r>
          </w:p>
        </w:tc>
        <w:tc>
          <w:tcPr>
            <w:tcW w:w="5401" w:type="dxa"/>
            <w:gridSpan w:val="2"/>
            <w:vAlign w:val="center"/>
          </w:tcPr>
          <w:p w14:paraId="27796155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pacing w:val="-2"/>
                <w:sz w:val="24"/>
              </w:rPr>
              <w:t>模块</w:t>
            </w:r>
          </w:p>
        </w:tc>
        <w:tc>
          <w:tcPr>
            <w:tcW w:w="1638" w:type="dxa"/>
            <w:vAlign w:val="center"/>
          </w:tcPr>
          <w:p w14:paraId="5C3B9CE2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pacing w:val="10"/>
                <w:position w:val="1"/>
                <w:sz w:val="24"/>
              </w:rPr>
              <w:t>权重（%）</w:t>
            </w:r>
          </w:p>
        </w:tc>
      </w:tr>
      <w:tr w14:paraId="4020D3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restart"/>
            <w:vAlign w:val="center"/>
          </w:tcPr>
          <w:p w14:paraId="13D6399A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6"/>
                <w:sz w:val="24"/>
              </w:rPr>
              <w:t>理论知识</w:t>
            </w:r>
          </w:p>
        </w:tc>
        <w:tc>
          <w:tcPr>
            <w:tcW w:w="2012" w:type="dxa"/>
            <w:vMerge w:val="restart"/>
            <w:vAlign w:val="center"/>
          </w:tcPr>
          <w:p w14:paraId="3070A598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8"/>
                <w:sz w:val="24"/>
              </w:rPr>
              <w:t>基础知识</w:t>
            </w:r>
          </w:p>
        </w:tc>
        <w:tc>
          <w:tcPr>
            <w:tcW w:w="3389" w:type="dxa"/>
            <w:shd w:val="clear" w:color="auto" w:fill="FFFFFF"/>
            <w:vAlign w:val="center"/>
          </w:tcPr>
          <w:p w14:paraId="69D3B4F5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8"/>
                <w:sz w:val="24"/>
                <w:lang w:val="zh-CN" w:eastAsia="zh-CN"/>
              </w:rPr>
            </w:pPr>
            <w:r>
              <w:rPr>
                <w:rFonts w:eastAsia="仿宋_GB2312"/>
                <w:spacing w:val="8"/>
                <w:sz w:val="24"/>
              </w:rPr>
              <w:t>职业道德</w:t>
            </w:r>
          </w:p>
        </w:tc>
        <w:tc>
          <w:tcPr>
            <w:tcW w:w="1638" w:type="dxa"/>
            <w:shd w:val="clear" w:color="auto" w:fill="FFFFFF"/>
            <w:vAlign w:val="center"/>
          </w:tcPr>
          <w:p w14:paraId="16986AA8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7"/>
                <w:sz w:val="24"/>
                <w:lang w:val="zh-CN" w:eastAsia="zh-CN"/>
              </w:rPr>
            </w:pPr>
            <w:r>
              <w:rPr>
                <w:rFonts w:eastAsia="仿宋_GB2312"/>
                <w:spacing w:val="7"/>
                <w:sz w:val="24"/>
                <w:lang w:val="en-US" w:eastAsia="en-US"/>
              </w:rPr>
              <w:t>5</w:t>
            </w:r>
          </w:p>
        </w:tc>
      </w:tr>
      <w:tr w14:paraId="32F7C7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vAlign w:val="center"/>
          </w:tcPr>
          <w:p w14:paraId="2A389B7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2" w:type="dxa"/>
            <w:vMerge w:val="continue"/>
            <w:vAlign w:val="center"/>
          </w:tcPr>
          <w:p w14:paraId="1065BE41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89" w:type="dxa"/>
            <w:shd w:val="clear" w:color="auto" w:fill="FFFFFF"/>
            <w:vAlign w:val="center"/>
          </w:tcPr>
          <w:p w14:paraId="3681E0E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8"/>
                <w:sz w:val="24"/>
                <w:lang w:val="zh-CN" w:eastAsia="zh-CN"/>
              </w:rPr>
            </w:pPr>
            <w:r>
              <w:rPr>
                <w:rFonts w:eastAsia="仿宋_GB2312"/>
                <w:spacing w:val="8"/>
                <w:sz w:val="24"/>
              </w:rPr>
              <w:t>基础知识</w:t>
            </w:r>
          </w:p>
        </w:tc>
        <w:tc>
          <w:tcPr>
            <w:tcW w:w="1638" w:type="dxa"/>
            <w:shd w:val="clear" w:color="auto" w:fill="FFFFFF"/>
            <w:vAlign w:val="center"/>
          </w:tcPr>
          <w:p w14:paraId="252B353C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7"/>
                <w:sz w:val="24"/>
                <w:lang w:val="zh-CN" w:eastAsia="zh-CN"/>
              </w:rPr>
            </w:pPr>
            <w:r>
              <w:rPr>
                <w:rFonts w:eastAsia="仿宋_GB2312"/>
                <w:spacing w:val="7"/>
                <w:sz w:val="24"/>
                <w:lang w:val="en-US" w:eastAsia="en-US"/>
              </w:rPr>
              <w:t>20</w:t>
            </w:r>
          </w:p>
        </w:tc>
      </w:tr>
      <w:tr w14:paraId="2EC072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vAlign w:val="center"/>
          </w:tcPr>
          <w:p w14:paraId="6C5DB5C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2" w:type="dxa"/>
            <w:vMerge w:val="restart"/>
            <w:vAlign w:val="center"/>
          </w:tcPr>
          <w:p w14:paraId="31569787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8"/>
                <w:sz w:val="24"/>
              </w:rPr>
              <w:t>相关知识</w:t>
            </w:r>
          </w:p>
        </w:tc>
        <w:tc>
          <w:tcPr>
            <w:tcW w:w="3389" w:type="dxa"/>
            <w:shd w:val="clear" w:color="auto" w:fill="FFFFFF"/>
            <w:vAlign w:val="center"/>
          </w:tcPr>
          <w:p w14:paraId="381747EF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8"/>
                <w:sz w:val="24"/>
                <w:lang w:val="zh-CN" w:eastAsia="zh-CN"/>
              </w:rPr>
            </w:pPr>
            <w:r>
              <w:rPr>
                <w:rFonts w:eastAsia="仿宋_GB2312"/>
                <w:spacing w:val="8"/>
                <w:sz w:val="24"/>
              </w:rPr>
              <w:t>机械系统检查与诊断</w:t>
            </w:r>
          </w:p>
        </w:tc>
        <w:tc>
          <w:tcPr>
            <w:tcW w:w="1638" w:type="dxa"/>
            <w:shd w:val="clear" w:color="auto" w:fill="FFFFFF"/>
            <w:vAlign w:val="center"/>
          </w:tcPr>
          <w:p w14:paraId="33FE9F07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7"/>
                <w:sz w:val="24"/>
                <w:lang w:val="zh-CN" w:eastAsia="zh-CN"/>
              </w:rPr>
            </w:pPr>
            <w:r>
              <w:rPr>
                <w:rFonts w:eastAsia="仿宋_GB2312"/>
                <w:spacing w:val="7"/>
                <w:sz w:val="24"/>
                <w:lang w:val="en-US" w:eastAsia="en-US"/>
              </w:rPr>
              <w:t>15</w:t>
            </w:r>
          </w:p>
        </w:tc>
      </w:tr>
      <w:tr w14:paraId="1AB3FD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vAlign w:val="center"/>
          </w:tcPr>
          <w:p w14:paraId="4749DB55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2" w:type="dxa"/>
            <w:vMerge w:val="continue"/>
            <w:vAlign w:val="center"/>
          </w:tcPr>
          <w:p w14:paraId="3AFBE054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89" w:type="dxa"/>
            <w:shd w:val="clear" w:color="auto" w:fill="FFFFFF"/>
            <w:vAlign w:val="center"/>
          </w:tcPr>
          <w:p w14:paraId="69D714D0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8"/>
                <w:sz w:val="24"/>
                <w:lang w:val="zh-CN" w:eastAsia="zh-CN"/>
              </w:rPr>
            </w:pPr>
            <w:r>
              <w:rPr>
                <w:rFonts w:eastAsia="仿宋_GB2312"/>
                <w:spacing w:val="8"/>
                <w:sz w:val="24"/>
              </w:rPr>
              <w:t>电气系统检查与诊断</w:t>
            </w:r>
          </w:p>
        </w:tc>
        <w:tc>
          <w:tcPr>
            <w:tcW w:w="1638" w:type="dxa"/>
            <w:shd w:val="clear" w:color="auto" w:fill="FFFFFF"/>
            <w:vAlign w:val="center"/>
          </w:tcPr>
          <w:p w14:paraId="63915CD2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7"/>
                <w:sz w:val="24"/>
                <w:lang w:val="zh-CN" w:eastAsia="zh-CN"/>
              </w:rPr>
            </w:pPr>
            <w:r>
              <w:rPr>
                <w:rFonts w:eastAsia="仿宋_GB2312"/>
                <w:spacing w:val="7"/>
                <w:sz w:val="24"/>
                <w:lang w:val="en-US" w:eastAsia="en-US"/>
              </w:rPr>
              <w:t>15</w:t>
            </w:r>
          </w:p>
        </w:tc>
      </w:tr>
      <w:tr w14:paraId="46CB79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vAlign w:val="center"/>
          </w:tcPr>
          <w:p w14:paraId="3686E308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2" w:type="dxa"/>
            <w:vMerge w:val="continue"/>
            <w:vAlign w:val="center"/>
          </w:tcPr>
          <w:p w14:paraId="691B687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89" w:type="dxa"/>
            <w:shd w:val="clear" w:color="auto" w:fill="FFFFFF"/>
            <w:vAlign w:val="center"/>
          </w:tcPr>
          <w:p w14:paraId="723BF77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8"/>
                <w:sz w:val="24"/>
                <w:lang w:val="zh-CN" w:eastAsia="zh-CN"/>
              </w:rPr>
            </w:pPr>
            <w:r>
              <w:rPr>
                <w:rFonts w:eastAsia="仿宋_GB2312"/>
                <w:spacing w:val="8"/>
                <w:sz w:val="24"/>
              </w:rPr>
              <w:t>运行维护与保养</w:t>
            </w:r>
          </w:p>
        </w:tc>
        <w:tc>
          <w:tcPr>
            <w:tcW w:w="1638" w:type="dxa"/>
            <w:shd w:val="clear" w:color="auto" w:fill="FFFFFF"/>
            <w:vAlign w:val="center"/>
          </w:tcPr>
          <w:p w14:paraId="30233724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7"/>
                <w:sz w:val="24"/>
                <w:lang w:val="zh-CN" w:eastAsia="zh-CN"/>
              </w:rPr>
            </w:pPr>
            <w:r>
              <w:rPr>
                <w:rFonts w:eastAsia="仿宋_GB2312"/>
                <w:spacing w:val="7"/>
                <w:sz w:val="24"/>
                <w:lang w:val="en-US" w:eastAsia="en-US"/>
              </w:rPr>
              <w:t>25</w:t>
            </w:r>
          </w:p>
        </w:tc>
      </w:tr>
      <w:tr w14:paraId="76D7FE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vAlign w:val="center"/>
          </w:tcPr>
          <w:p w14:paraId="63F6C62F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2" w:type="dxa"/>
            <w:vMerge w:val="continue"/>
            <w:vAlign w:val="center"/>
          </w:tcPr>
          <w:p w14:paraId="01DB2991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89" w:type="dxa"/>
            <w:shd w:val="clear" w:color="auto" w:fill="FFFFFF"/>
            <w:vAlign w:val="center"/>
          </w:tcPr>
          <w:p w14:paraId="630A335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8"/>
                <w:sz w:val="24"/>
                <w:lang w:val="zh-CN" w:eastAsia="zh-CN"/>
              </w:rPr>
            </w:pPr>
            <w:r>
              <w:rPr>
                <w:rFonts w:eastAsia="仿宋_GB2312"/>
                <w:spacing w:val="8"/>
                <w:sz w:val="24"/>
              </w:rPr>
              <w:t>数据采集与状态监测</w:t>
            </w:r>
          </w:p>
        </w:tc>
        <w:tc>
          <w:tcPr>
            <w:tcW w:w="1638" w:type="dxa"/>
            <w:shd w:val="clear" w:color="auto" w:fill="FFFFFF"/>
            <w:vAlign w:val="center"/>
          </w:tcPr>
          <w:p w14:paraId="75FA5794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7"/>
                <w:sz w:val="24"/>
                <w:lang w:val="zh-CN" w:eastAsia="zh-CN"/>
              </w:rPr>
            </w:pPr>
            <w:r>
              <w:rPr>
                <w:rFonts w:eastAsia="仿宋_GB2312"/>
                <w:spacing w:val="7"/>
                <w:sz w:val="24"/>
                <w:lang w:val="en-US" w:eastAsia="en-US"/>
              </w:rPr>
              <w:t>5</w:t>
            </w:r>
          </w:p>
        </w:tc>
      </w:tr>
      <w:tr w14:paraId="262293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vAlign w:val="center"/>
          </w:tcPr>
          <w:p w14:paraId="4DF2A41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2" w:type="dxa"/>
            <w:vMerge w:val="continue"/>
            <w:vAlign w:val="center"/>
          </w:tcPr>
          <w:p w14:paraId="0356B17C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89" w:type="dxa"/>
            <w:shd w:val="clear" w:color="auto" w:fill="FFFFFF"/>
            <w:vAlign w:val="center"/>
          </w:tcPr>
          <w:p w14:paraId="12671F38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8"/>
                <w:sz w:val="24"/>
                <w:lang w:val="zh-CN" w:eastAsia="zh-CN"/>
              </w:rPr>
            </w:pPr>
            <w:r>
              <w:rPr>
                <w:rFonts w:eastAsia="仿宋_GB2312"/>
                <w:spacing w:val="8"/>
                <w:sz w:val="24"/>
              </w:rPr>
              <w:t>故障处理</w:t>
            </w:r>
          </w:p>
        </w:tc>
        <w:tc>
          <w:tcPr>
            <w:tcW w:w="1638" w:type="dxa"/>
            <w:shd w:val="clear" w:color="auto" w:fill="FFFFFF"/>
            <w:vAlign w:val="center"/>
          </w:tcPr>
          <w:p w14:paraId="04A373A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7"/>
                <w:sz w:val="24"/>
                <w:lang w:val="zh-CN" w:eastAsia="zh-CN"/>
              </w:rPr>
            </w:pPr>
            <w:r>
              <w:rPr>
                <w:rFonts w:eastAsia="仿宋_GB2312"/>
                <w:spacing w:val="7"/>
                <w:sz w:val="24"/>
                <w:lang w:val="en-US" w:eastAsia="en-US"/>
              </w:rPr>
              <w:t>15</w:t>
            </w:r>
          </w:p>
        </w:tc>
      </w:tr>
      <w:tr w14:paraId="7D98E0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vAlign w:val="center"/>
          </w:tcPr>
          <w:p w14:paraId="132090B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01" w:type="dxa"/>
            <w:gridSpan w:val="2"/>
            <w:vAlign w:val="center"/>
          </w:tcPr>
          <w:p w14:paraId="00B2640C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3"/>
                <w:sz w:val="24"/>
              </w:rPr>
              <w:t>合计</w:t>
            </w:r>
          </w:p>
        </w:tc>
        <w:tc>
          <w:tcPr>
            <w:tcW w:w="1638" w:type="dxa"/>
            <w:vAlign w:val="center"/>
          </w:tcPr>
          <w:p w14:paraId="3C447BF1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100</w:t>
            </w:r>
          </w:p>
        </w:tc>
      </w:tr>
      <w:tr w14:paraId="5E0519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restart"/>
            <w:vAlign w:val="center"/>
          </w:tcPr>
          <w:p w14:paraId="162E0541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6"/>
                <w:sz w:val="24"/>
              </w:rPr>
              <w:t>操作技能</w:t>
            </w:r>
          </w:p>
        </w:tc>
        <w:tc>
          <w:tcPr>
            <w:tcW w:w="2012" w:type="dxa"/>
            <w:vMerge w:val="restart"/>
            <w:vAlign w:val="center"/>
          </w:tcPr>
          <w:p w14:paraId="07F1A9F3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6"/>
                <w:sz w:val="24"/>
              </w:rPr>
              <w:t>系统检查</w:t>
            </w:r>
          </w:p>
        </w:tc>
        <w:tc>
          <w:tcPr>
            <w:tcW w:w="3389" w:type="dxa"/>
            <w:shd w:val="clear" w:color="auto" w:fill="FFFFFF"/>
            <w:vAlign w:val="center"/>
          </w:tcPr>
          <w:p w14:paraId="56525F72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6"/>
                <w:sz w:val="24"/>
                <w:lang w:val="zh-CN" w:eastAsia="zh-CN"/>
              </w:rPr>
            </w:pPr>
            <w:r>
              <w:rPr>
                <w:rFonts w:eastAsia="仿宋_GB2312"/>
                <w:spacing w:val="6"/>
                <w:sz w:val="24"/>
              </w:rPr>
              <w:t>机械系统检查与诊断</w:t>
            </w:r>
          </w:p>
        </w:tc>
        <w:tc>
          <w:tcPr>
            <w:tcW w:w="1638" w:type="dxa"/>
            <w:shd w:val="clear" w:color="auto" w:fill="FFFFFF"/>
            <w:vAlign w:val="center"/>
          </w:tcPr>
          <w:p w14:paraId="2161731A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6"/>
                <w:sz w:val="24"/>
                <w:lang w:val="zh-CN" w:eastAsia="zh-CN"/>
              </w:rPr>
            </w:pPr>
            <w:r>
              <w:rPr>
                <w:rFonts w:eastAsia="仿宋_GB2312"/>
                <w:spacing w:val="6"/>
                <w:sz w:val="24"/>
                <w:lang w:val="en-US" w:eastAsia="en-US"/>
              </w:rPr>
              <w:t>20</w:t>
            </w:r>
          </w:p>
        </w:tc>
      </w:tr>
      <w:tr w14:paraId="58D8D2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vAlign w:val="center"/>
          </w:tcPr>
          <w:p w14:paraId="4880B23E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2" w:type="dxa"/>
            <w:vMerge w:val="continue"/>
            <w:vAlign w:val="center"/>
          </w:tcPr>
          <w:p w14:paraId="3000398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89" w:type="dxa"/>
            <w:shd w:val="clear" w:color="auto" w:fill="FFFFFF"/>
            <w:vAlign w:val="center"/>
          </w:tcPr>
          <w:p w14:paraId="24B50F1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6"/>
                <w:sz w:val="24"/>
                <w:lang w:val="zh-CN" w:eastAsia="zh-CN"/>
              </w:rPr>
            </w:pPr>
            <w:r>
              <w:rPr>
                <w:rFonts w:eastAsia="仿宋_GB2312"/>
                <w:spacing w:val="6"/>
                <w:sz w:val="24"/>
              </w:rPr>
              <w:t>电气系统检查与诊断</w:t>
            </w:r>
          </w:p>
        </w:tc>
        <w:tc>
          <w:tcPr>
            <w:tcW w:w="1638" w:type="dxa"/>
            <w:shd w:val="clear" w:color="auto" w:fill="FFFFFF"/>
            <w:vAlign w:val="center"/>
          </w:tcPr>
          <w:p w14:paraId="72E96B85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6"/>
                <w:sz w:val="24"/>
                <w:lang w:val="zh-CN" w:eastAsia="zh-CN"/>
              </w:rPr>
            </w:pPr>
            <w:r>
              <w:rPr>
                <w:rFonts w:eastAsia="仿宋_GB2312"/>
                <w:spacing w:val="6"/>
                <w:sz w:val="24"/>
                <w:lang w:val="en-US" w:eastAsia="en-US"/>
              </w:rPr>
              <w:t>20</w:t>
            </w:r>
          </w:p>
        </w:tc>
      </w:tr>
      <w:tr w14:paraId="22392F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vAlign w:val="center"/>
          </w:tcPr>
          <w:p w14:paraId="589F5657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2" w:type="dxa"/>
            <w:vMerge w:val="restart"/>
            <w:vAlign w:val="center"/>
          </w:tcPr>
          <w:p w14:paraId="5CAD129E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8"/>
                <w:sz w:val="24"/>
                <w:lang w:val="en-US" w:eastAsia="zh-CN"/>
              </w:rPr>
              <w:t>运行与维护</w:t>
            </w:r>
          </w:p>
        </w:tc>
        <w:tc>
          <w:tcPr>
            <w:tcW w:w="3389" w:type="dxa"/>
            <w:shd w:val="clear" w:color="auto" w:fill="FFFFFF"/>
            <w:vAlign w:val="center"/>
          </w:tcPr>
          <w:p w14:paraId="67C767E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6"/>
                <w:sz w:val="24"/>
                <w:lang w:val="zh-CN" w:eastAsia="zh-CN"/>
              </w:rPr>
            </w:pPr>
            <w:r>
              <w:rPr>
                <w:rFonts w:eastAsia="仿宋_GB2312"/>
                <w:spacing w:val="6"/>
                <w:sz w:val="24"/>
              </w:rPr>
              <w:t>运行维护与保养</w:t>
            </w:r>
          </w:p>
        </w:tc>
        <w:tc>
          <w:tcPr>
            <w:tcW w:w="1638" w:type="dxa"/>
            <w:shd w:val="clear" w:color="auto" w:fill="FFFFFF"/>
            <w:vAlign w:val="center"/>
          </w:tcPr>
          <w:p w14:paraId="700D5FEF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6"/>
                <w:sz w:val="24"/>
                <w:lang w:val="zh-CN" w:eastAsia="zh-CN"/>
              </w:rPr>
            </w:pPr>
            <w:r>
              <w:rPr>
                <w:rFonts w:eastAsia="仿宋_GB2312"/>
                <w:spacing w:val="6"/>
                <w:sz w:val="24"/>
                <w:lang w:val="en-US" w:eastAsia="en-US"/>
              </w:rPr>
              <w:t>30</w:t>
            </w:r>
          </w:p>
        </w:tc>
      </w:tr>
      <w:tr w14:paraId="146136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vAlign w:val="center"/>
          </w:tcPr>
          <w:p w14:paraId="56B6C338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2" w:type="dxa"/>
            <w:vMerge w:val="continue"/>
            <w:vAlign w:val="center"/>
          </w:tcPr>
          <w:p w14:paraId="14CB61F8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89" w:type="dxa"/>
            <w:shd w:val="clear" w:color="auto" w:fill="FFFFFF"/>
            <w:vAlign w:val="center"/>
          </w:tcPr>
          <w:p w14:paraId="4A5503FA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6"/>
                <w:sz w:val="24"/>
                <w:lang w:val="zh-CN" w:eastAsia="zh-CN"/>
              </w:rPr>
            </w:pPr>
            <w:r>
              <w:rPr>
                <w:rFonts w:eastAsia="仿宋_GB2312"/>
                <w:spacing w:val="6"/>
                <w:sz w:val="24"/>
              </w:rPr>
              <w:t>数据采集与状态监测</w:t>
            </w:r>
          </w:p>
        </w:tc>
        <w:tc>
          <w:tcPr>
            <w:tcW w:w="1638" w:type="dxa"/>
            <w:shd w:val="clear" w:color="auto" w:fill="FFFFFF"/>
            <w:vAlign w:val="center"/>
          </w:tcPr>
          <w:p w14:paraId="6BA00495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6"/>
                <w:sz w:val="24"/>
                <w:lang w:val="zh-CN" w:eastAsia="zh-CN"/>
              </w:rPr>
            </w:pPr>
            <w:r>
              <w:rPr>
                <w:rFonts w:eastAsia="仿宋_GB2312"/>
                <w:spacing w:val="6"/>
                <w:sz w:val="24"/>
                <w:lang w:val="en-US" w:eastAsia="en-US"/>
              </w:rPr>
              <w:t>10</w:t>
            </w:r>
          </w:p>
        </w:tc>
      </w:tr>
      <w:tr w14:paraId="205C9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vAlign w:val="center"/>
          </w:tcPr>
          <w:p w14:paraId="2D6F7B27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2" w:type="dxa"/>
            <w:vMerge w:val="continue"/>
            <w:vAlign w:val="center"/>
          </w:tcPr>
          <w:p w14:paraId="73542412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89" w:type="dxa"/>
            <w:shd w:val="clear" w:color="auto" w:fill="FFFFFF"/>
            <w:vAlign w:val="center"/>
          </w:tcPr>
          <w:p w14:paraId="686F0887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6"/>
                <w:sz w:val="24"/>
                <w:lang w:val="zh-CN" w:eastAsia="zh-CN"/>
              </w:rPr>
            </w:pPr>
            <w:r>
              <w:rPr>
                <w:rFonts w:eastAsia="仿宋_GB2312"/>
                <w:spacing w:val="6"/>
                <w:sz w:val="24"/>
              </w:rPr>
              <w:t>故障处理</w:t>
            </w:r>
          </w:p>
        </w:tc>
        <w:tc>
          <w:tcPr>
            <w:tcW w:w="1638" w:type="dxa"/>
            <w:shd w:val="clear" w:color="auto" w:fill="FFFFFF"/>
            <w:vAlign w:val="center"/>
          </w:tcPr>
          <w:p w14:paraId="3170AC85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6"/>
                <w:sz w:val="24"/>
                <w:lang w:val="zh-CN" w:eastAsia="zh-CN"/>
              </w:rPr>
            </w:pPr>
            <w:r>
              <w:rPr>
                <w:rFonts w:eastAsia="仿宋_GB2312"/>
                <w:spacing w:val="6"/>
                <w:sz w:val="24"/>
                <w:lang w:val="en-US" w:eastAsia="en-US"/>
              </w:rPr>
              <w:t>20</w:t>
            </w:r>
          </w:p>
        </w:tc>
      </w:tr>
      <w:tr w14:paraId="55CBD0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vAlign w:val="center"/>
          </w:tcPr>
          <w:p w14:paraId="34ED9AE7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01" w:type="dxa"/>
            <w:gridSpan w:val="2"/>
            <w:vAlign w:val="center"/>
          </w:tcPr>
          <w:p w14:paraId="40D4B1B3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3"/>
                <w:sz w:val="24"/>
              </w:rPr>
              <w:t>合计</w:t>
            </w:r>
          </w:p>
        </w:tc>
        <w:tc>
          <w:tcPr>
            <w:tcW w:w="1638" w:type="dxa"/>
            <w:vAlign w:val="center"/>
          </w:tcPr>
          <w:p w14:paraId="7D6F4E52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100</w:t>
            </w:r>
          </w:p>
        </w:tc>
      </w:tr>
    </w:tbl>
    <w:p w14:paraId="73AB4BE7">
      <w:pPr>
        <w:pStyle w:val="11"/>
        <w:overflowPunct w:val="0"/>
        <w:autoSpaceDE w:val="0"/>
        <w:autoSpaceDN w:val="0"/>
        <w:adjustRightInd w:val="0"/>
        <w:snapToGrid w:val="0"/>
        <w:spacing w:line="57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场地设施设备简述</w:t>
      </w:r>
    </w:p>
    <w:p w14:paraId="2E8AB369">
      <w:pPr>
        <w:pStyle w:val="11"/>
        <w:overflowPunct w:val="0"/>
        <w:autoSpaceDE w:val="0"/>
        <w:autoSpaceDN w:val="0"/>
        <w:adjustRightInd w:val="0"/>
        <w:snapToGrid w:val="0"/>
        <w:spacing w:line="570" w:lineRule="exact"/>
        <w:ind w:firstLine="643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（一）场地规模</w:t>
      </w:r>
    </w:p>
    <w:p w14:paraId="2142A2F3">
      <w:pPr>
        <w:overflowPunct w:val="0"/>
        <w:autoSpaceDE w:val="0"/>
        <w:autoSpaceDN w:val="0"/>
        <w:spacing w:line="560" w:lineRule="exact"/>
        <w:ind w:firstLine="64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本赛项在</w:t>
      </w:r>
      <w:r>
        <w:rPr>
          <w:rFonts w:hint="eastAsia" w:eastAsia="仿宋_GB2312"/>
          <w:sz w:val="32"/>
          <w:szCs w:val="32"/>
          <w:lang w:val="en-US" w:eastAsia="zh-CN"/>
        </w:rPr>
        <w:t>江苏省常州技师学员</w:t>
      </w:r>
      <w:r>
        <w:rPr>
          <w:rFonts w:hint="eastAsia" w:eastAsia="仿宋_GB2312"/>
          <w:sz w:val="32"/>
          <w:szCs w:val="32"/>
        </w:rPr>
        <w:t>举行，赛场占地总面积为</w:t>
      </w:r>
      <w:r>
        <w:rPr>
          <w:rFonts w:hint="eastAsia" w:eastAsia="仿宋_GB2312"/>
          <w:sz w:val="32"/>
          <w:szCs w:val="32"/>
          <w:lang w:val="en-US" w:eastAsia="zh-CN"/>
        </w:rPr>
        <w:t>200</w:t>
      </w:r>
      <w:r>
        <w:rPr>
          <w:rFonts w:hint="eastAsia" w:eastAsia="仿宋_GB2312"/>
          <w:sz w:val="32"/>
          <w:szCs w:val="32"/>
        </w:rPr>
        <w:t>平方米，划分为“选手答题区、裁判人员工作区、技术支持人员工作区、仲裁人员工作区、医务人员工作区、志愿者工作区”6个区域。</w:t>
      </w:r>
    </w:p>
    <w:p w14:paraId="0641A04F">
      <w:pPr>
        <w:pStyle w:val="11"/>
        <w:overflowPunct w:val="0"/>
        <w:autoSpaceDE w:val="0"/>
        <w:autoSpaceDN w:val="0"/>
        <w:adjustRightInd w:val="0"/>
        <w:snapToGrid w:val="0"/>
        <w:spacing w:line="570" w:lineRule="exact"/>
        <w:ind w:firstLine="643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（二）设施条件</w:t>
      </w:r>
    </w:p>
    <w:tbl>
      <w:tblPr>
        <w:tblStyle w:val="6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3988"/>
        <w:gridCol w:w="3379"/>
      </w:tblGrid>
      <w:tr w14:paraId="468BB3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14" w:type="dxa"/>
            <w:vAlign w:val="center"/>
          </w:tcPr>
          <w:p w14:paraId="1BA58891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pacing w:val="7"/>
                <w:sz w:val="24"/>
              </w:rPr>
              <w:t>序号</w:t>
            </w:r>
          </w:p>
        </w:tc>
        <w:tc>
          <w:tcPr>
            <w:tcW w:w="4242" w:type="dxa"/>
            <w:vAlign w:val="center"/>
          </w:tcPr>
          <w:p w14:paraId="472464FE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pacing w:val="2"/>
                <w:sz w:val="24"/>
              </w:rPr>
              <w:t>类别</w:t>
            </w:r>
          </w:p>
        </w:tc>
        <w:tc>
          <w:tcPr>
            <w:tcW w:w="3593" w:type="dxa"/>
            <w:vAlign w:val="center"/>
          </w:tcPr>
          <w:p w14:paraId="25A25F7E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pacing w:val="5"/>
                <w:sz w:val="24"/>
              </w:rPr>
              <w:t>参数</w:t>
            </w:r>
          </w:p>
        </w:tc>
      </w:tr>
      <w:tr w14:paraId="4A341A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14" w:type="dxa"/>
            <w:vAlign w:val="center"/>
          </w:tcPr>
          <w:p w14:paraId="06D5E06F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4242" w:type="dxa"/>
            <w:vAlign w:val="center"/>
          </w:tcPr>
          <w:p w14:paraId="7FAC9E1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"/>
                <w:sz w:val="24"/>
              </w:rPr>
              <w:t>电力设施</w:t>
            </w:r>
          </w:p>
        </w:tc>
        <w:tc>
          <w:tcPr>
            <w:tcW w:w="3593" w:type="dxa"/>
            <w:vAlign w:val="center"/>
          </w:tcPr>
          <w:p w14:paraId="0CEA845F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2"/>
                <w:sz w:val="24"/>
              </w:rPr>
              <w:t>220V商用电</w:t>
            </w:r>
          </w:p>
        </w:tc>
      </w:tr>
      <w:tr w14:paraId="2B7CC6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14" w:type="dxa"/>
            <w:vAlign w:val="center"/>
          </w:tcPr>
          <w:p w14:paraId="53475BC4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4242" w:type="dxa"/>
            <w:vAlign w:val="center"/>
          </w:tcPr>
          <w:p w14:paraId="2DACBE8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4"/>
                <w:sz w:val="24"/>
              </w:rPr>
              <w:t>照明设施</w:t>
            </w:r>
          </w:p>
        </w:tc>
        <w:tc>
          <w:tcPr>
            <w:tcW w:w="3593" w:type="dxa"/>
            <w:vAlign w:val="center"/>
          </w:tcPr>
          <w:p w14:paraId="06D57D11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2"/>
                <w:sz w:val="24"/>
              </w:rPr>
              <w:t>9-11W/M2标准</w:t>
            </w:r>
          </w:p>
        </w:tc>
      </w:tr>
      <w:tr w14:paraId="02237F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14" w:type="dxa"/>
            <w:vAlign w:val="center"/>
          </w:tcPr>
          <w:p w14:paraId="71BD2AB0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4242" w:type="dxa"/>
            <w:vAlign w:val="center"/>
          </w:tcPr>
          <w:p w14:paraId="54183F6C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"/>
                <w:sz w:val="24"/>
              </w:rPr>
              <w:t>网络设施</w:t>
            </w:r>
          </w:p>
        </w:tc>
        <w:tc>
          <w:tcPr>
            <w:tcW w:w="3593" w:type="dxa"/>
            <w:vAlign w:val="center"/>
          </w:tcPr>
          <w:p w14:paraId="5352CF14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4"/>
                <w:sz w:val="24"/>
              </w:rPr>
              <w:t>千兆光纤</w:t>
            </w:r>
          </w:p>
        </w:tc>
      </w:tr>
    </w:tbl>
    <w:p w14:paraId="5BEF437D">
      <w:pPr>
        <w:pStyle w:val="11"/>
        <w:overflowPunct w:val="0"/>
        <w:autoSpaceDE w:val="0"/>
        <w:autoSpaceDN w:val="0"/>
        <w:adjustRightInd w:val="0"/>
        <w:snapToGrid w:val="0"/>
        <w:spacing w:line="570" w:lineRule="exact"/>
        <w:ind w:firstLine="643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（三）设备条件</w:t>
      </w:r>
    </w:p>
    <w:tbl>
      <w:tblPr>
        <w:tblStyle w:val="6"/>
        <w:tblW w:w="5009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3995"/>
        <w:gridCol w:w="3385"/>
      </w:tblGrid>
      <w:tr w14:paraId="4EC533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5" w:type="dxa"/>
            <w:vAlign w:val="center"/>
          </w:tcPr>
          <w:p w14:paraId="6961E6E4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pacing w:val="7"/>
                <w:position w:val="1"/>
                <w:sz w:val="24"/>
              </w:rPr>
              <w:t>序号</w:t>
            </w:r>
          </w:p>
        </w:tc>
        <w:tc>
          <w:tcPr>
            <w:tcW w:w="3988" w:type="dxa"/>
            <w:vAlign w:val="center"/>
          </w:tcPr>
          <w:p w14:paraId="4EF3B135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pacing w:val="4"/>
                <w:position w:val="1"/>
                <w:sz w:val="24"/>
              </w:rPr>
              <w:t>名称</w:t>
            </w:r>
          </w:p>
        </w:tc>
        <w:tc>
          <w:tcPr>
            <w:tcW w:w="3379" w:type="dxa"/>
            <w:vAlign w:val="center"/>
          </w:tcPr>
          <w:p w14:paraId="674DF653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pacing w:val="6"/>
                <w:position w:val="1"/>
                <w:sz w:val="24"/>
              </w:rPr>
              <w:t>数量</w:t>
            </w:r>
          </w:p>
        </w:tc>
      </w:tr>
      <w:tr w14:paraId="6DBD3E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5" w:type="dxa"/>
            <w:vAlign w:val="center"/>
          </w:tcPr>
          <w:p w14:paraId="4EEBF56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988" w:type="dxa"/>
            <w:vAlign w:val="center"/>
          </w:tcPr>
          <w:p w14:paraId="2A3E4CD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pacing w:val="4"/>
                <w:sz w:val="24"/>
              </w:rPr>
            </w:pPr>
            <w:r>
              <w:rPr>
                <w:rFonts w:hint="eastAsia" w:eastAsia="仿宋_GB2312"/>
                <w:spacing w:val="4"/>
                <w:sz w:val="24"/>
              </w:rPr>
              <w:t>工业机器人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72134B44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pacing w:val="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4"/>
                <w:sz w:val="24"/>
              </w:rPr>
              <w:t>6</w:t>
            </w:r>
            <w:r>
              <w:rPr>
                <w:rFonts w:hint="eastAsia" w:eastAsia="仿宋_GB2312"/>
                <w:spacing w:val="4"/>
                <w:sz w:val="24"/>
                <w:lang w:val="en-US" w:eastAsia="zh-CN"/>
              </w:rPr>
              <w:t>台</w:t>
            </w:r>
          </w:p>
        </w:tc>
      </w:tr>
      <w:tr w14:paraId="2E1590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5" w:type="dxa"/>
            <w:vAlign w:val="center"/>
          </w:tcPr>
          <w:p w14:paraId="2A8FDCFA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3988" w:type="dxa"/>
            <w:vAlign w:val="center"/>
          </w:tcPr>
          <w:p w14:paraId="7A2DC18D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pacing w:val="4"/>
                <w:sz w:val="24"/>
              </w:rPr>
            </w:pPr>
            <w:r>
              <w:rPr>
                <w:rFonts w:hint="eastAsia" w:eastAsia="仿宋_GB2312"/>
                <w:spacing w:val="4"/>
                <w:sz w:val="24"/>
                <w:lang w:val="en-US" w:eastAsia="zh-CN"/>
              </w:rPr>
              <w:t>机器人</w:t>
            </w:r>
            <w:r>
              <w:rPr>
                <w:rFonts w:hint="eastAsia" w:eastAsia="仿宋_GB2312"/>
                <w:spacing w:val="4"/>
                <w:sz w:val="24"/>
              </w:rPr>
              <w:t>操作平台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33054CBD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pacing w:val="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4"/>
                <w:sz w:val="24"/>
              </w:rPr>
              <w:t>6</w:t>
            </w:r>
            <w:r>
              <w:rPr>
                <w:rFonts w:hint="eastAsia" w:eastAsia="仿宋_GB2312"/>
                <w:spacing w:val="4"/>
                <w:sz w:val="24"/>
                <w:lang w:val="en-US" w:eastAsia="zh-CN"/>
              </w:rPr>
              <w:t>套</w:t>
            </w:r>
          </w:p>
        </w:tc>
      </w:tr>
      <w:tr w14:paraId="1D1ED8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5" w:type="dxa"/>
            <w:vAlign w:val="center"/>
          </w:tcPr>
          <w:p w14:paraId="53A0BF3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3988" w:type="dxa"/>
            <w:vAlign w:val="center"/>
          </w:tcPr>
          <w:p w14:paraId="4C16D042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pacing w:val="4"/>
                <w:sz w:val="24"/>
              </w:rPr>
            </w:pPr>
            <w:r>
              <w:rPr>
                <w:rFonts w:hint="eastAsia" w:eastAsia="仿宋_GB2312"/>
                <w:spacing w:val="4"/>
                <w:sz w:val="24"/>
              </w:rPr>
              <w:t>电工通用工具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0B1599F1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pacing w:val="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4"/>
                <w:sz w:val="24"/>
              </w:rPr>
              <w:t>10</w:t>
            </w:r>
            <w:r>
              <w:rPr>
                <w:rFonts w:hint="eastAsia" w:eastAsia="仿宋_GB2312"/>
                <w:spacing w:val="4"/>
                <w:sz w:val="24"/>
                <w:lang w:val="en-US" w:eastAsia="zh-CN"/>
              </w:rPr>
              <w:t>套</w:t>
            </w:r>
          </w:p>
        </w:tc>
      </w:tr>
      <w:tr w14:paraId="526F0E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5" w:type="dxa"/>
            <w:vAlign w:val="center"/>
          </w:tcPr>
          <w:p w14:paraId="211E319D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3988" w:type="dxa"/>
            <w:vAlign w:val="center"/>
          </w:tcPr>
          <w:p w14:paraId="0277D5FD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pacing w:val="4"/>
                <w:sz w:val="24"/>
              </w:rPr>
            </w:pPr>
            <w:r>
              <w:rPr>
                <w:rFonts w:hint="eastAsia" w:eastAsia="仿宋_GB2312"/>
                <w:spacing w:val="4"/>
                <w:sz w:val="24"/>
              </w:rPr>
              <w:t>游标卡尺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0B0BE3A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pacing w:val="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4"/>
                <w:sz w:val="24"/>
              </w:rPr>
              <w:t>10</w:t>
            </w:r>
            <w:r>
              <w:rPr>
                <w:rFonts w:hint="eastAsia" w:eastAsia="仿宋_GB2312"/>
                <w:spacing w:val="4"/>
                <w:sz w:val="24"/>
                <w:lang w:val="en-US" w:eastAsia="zh-CN"/>
              </w:rPr>
              <w:t>把</w:t>
            </w:r>
          </w:p>
        </w:tc>
      </w:tr>
      <w:tr w14:paraId="6839ED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5" w:type="dxa"/>
            <w:vAlign w:val="center"/>
          </w:tcPr>
          <w:p w14:paraId="7C394AC4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3988" w:type="dxa"/>
            <w:vAlign w:val="center"/>
          </w:tcPr>
          <w:p w14:paraId="679A48E1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pacing w:val="4"/>
                <w:sz w:val="24"/>
              </w:rPr>
            </w:pPr>
            <w:r>
              <w:rPr>
                <w:rFonts w:hint="eastAsia" w:eastAsia="仿宋_GB2312"/>
                <w:spacing w:val="4"/>
                <w:sz w:val="24"/>
              </w:rPr>
              <w:t>万用表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758D03F4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pacing w:val="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4"/>
                <w:sz w:val="24"/>
              </w:rPr>
              <w:t>10</w:t>
            </w:r>
            <w:r>
              <w:rPr>
                <w:rFonts w:hint="eastAsia" w:eastAsia="仿宋_GB2312"/>
                <w:spacing w:val="4"/>
                <w:sz w:val="24"/>
                <w:lang w:val="en-US" w:eastAsia="zh-CN"/>
              </w:rPr>
              <w:t>个</w:t>
            </w:r>
          </w:p>
        </w:tc>
      </w:tr>
    </w:tbl>
    <w:p w14:paraId="57F87AEC">
      <w:pPr>
        <w:pStyle w:val="11"/>
        <w:overflowPunct w:val="0"/>
        <w:autoSpaceDE w:val="0"/>
        <w:autoSpaceDN w:val="0"/>
        <w:adjustRightInd w:val="0"/>
        <w:snapToGrid w:val="0"/>
        <w:spacing w:line="57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、纪律要求</w:t>
      </w:r>
    </w:p>
    <w:p w14:paraId="7113C5EC">
      <w:pPr>
        <w:pStyle w:val="11"/>
        <w:overflowPunct w:val="0"/>
        <w:autoSpaceDE w:val="0"/>
        <w:autoSpaceDN w:val="0"/>
        <w:adjustRightInd w:val="0"/>
        <w:snapToGrid w:val="0"/>
        <w:spacing w:line="570" w:lineRule="exact"/>
        <w:ind w:firstLine="643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（一）通则</w:t>
      </w:r>
    </w:p>
    <w:p w14:paraId="60B8CFF3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本赛项将严格遵守公平、公正、公开的原则，对出现的任何违规行为，一经</w:t>
      </w:r>
      <w:r>
        <w:rPr>
          <w:rFonts w:hint="eastAsia" w:eastAsia="仿宋_GB2312"/>
          <w:sz w:val="32"/>
          <w:szCs w:val="32"/>
        </w:rPr>
        <w:t>查处</w:t>
      </w:r>
      <w:r>
        <w:rPr>
          <w:rFonts w:eastAsia="仿宋_GB2312"/>
          <w:sz w:val="32"/>
          <w:szCs w:val="32"/>
        </w:rPr>
        <w:t>严肃处理。</w:t>
      </w:r>
    </w:p>
    <w:p w14:paraId="552B98F8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参与本赛项的所有人员应按规定的时间、地点、场次参加比赛，不得无故迟到、早退、缺席。</w:t>
      </w:r>
    </w:p>
    <w:p w14:paraId="75868CAA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参与本赛项的所有人员应当</w:t>
      </w:r>
      <w:r>
        <w:rPr>
          <w:rFonts w:hint="eastAsia" w:eastAsia="仿宋_GB2312"/>
          <w:sz w:val="32"/>
          <w:szCs w:val="32"/>
        </w:rPr>
        <w:t>佩戴</w:t>
      </w:r>
      <w:r>
        <w:rPr>
          <w:rFonts w:eastAsia="仿宋_GB2312"/>
          <w:sz w:val="32"/>
          <w:szCs w:val="32"/>
        </w:rPr>
        <w:t>组委会配发的证件，服从组委会统一指挥，共同保证比赛顺利进行。</w:t>
      </w:r>
    </w:p>
    <w:p w14:paraId="0ABA811C">
      <w:pPr>
        <w:pStyle w:val="11"/>
        <w:overflowPunct w:val="0"/>
        <w:autoSpaceDE w:val="0"/>
        <w:autoSpaceDN w:val="0"/>
        <w:adjustRightInd w:val="0"/>
        <w:snapToGrid w:val="0"/>
        <w:spacing w:line="570" w:lineRule="exact"/>
        <w:ind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（二）参赛选手</w:t>
      </w:r>
    </w:p>
    <w:p w14:paraId="7B060A91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参赛选手需携带参赛证、身份证等证件进入赛场，并将手机关机。未带证件者，不得参赛。</w:t>
      </w:r>
    </w:p>
    <w:p w14:paraId="4B0088BF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参赛选手在比赛开始前 30 分钟进入比赛候考区，在现场工作人员引导下，进行赛前准备，检查并确认所需物品。</w:t>
      </w:r>
    </w:p>
    <w:p w14:paraId="069512A0">
      <w:pPr>
        <w:overflowPunct w:val="0"/>
        <w:autoSpaceDE w:val="0"/>
        <w:autoSpaceDN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理论考试开始前 15 分钟，参赛选手凭证件进入规定考场，并将证件放在考桌左上角，以便监考人员查验。考试过程中，参赛选手应独立完成答题。</w:t>
      </w:r>
    </w:p>
    <w:p w14:paraId="496CD4AE">
      <w:pPr>
        <w:overflowPunct w:val="0"/>
        <w:autoSpaceDE w:val="0"/>
        <w:autoSpaceDN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参赛选手必须按指定时间进入赛场，迟到 30 分钟者不得参加比赛。</w:t>
      </w:r>
    </w:p>
    <w:p w14:paraId="6443F241">
      <w:pPr>
        <w:overflowPunct w:val="0"/>
        <w:autoSpaceDE w:val="0"/>
        <w:autoSpaceDN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裁判长宣布比赛开始，参赛选手方可答题，比赛开始计时。</w:t>
      </w:r>
    </w:p>
    <w:p w14:paraId="4F498692">
      <w:pPr>
        <w:overflowPunct w:val="0"/>
        <w:autoSpaceDE w:val="0"/>
        <w:autoSpaceDN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裁判长宣布比赛结束，参赛选手应立即停止答题，不得以任何理由拖延竞赛时间，若提前结束比赛，应向裁判员举手示意，经裁判员同意后，视为提前结束比赛。</w:t>
      </w:r>
    </w:p>
    <w:p w14:paraId="4AE5D30C">
      <w:pPr>
        <w:overflowPunct w:val="0"/>
        <w:autoSpaceDE w:val="0"/>
        <w:autoSpaceDN w:val="0"/>
        <w:spacing w:line="540" w:lineRule="exact"/>
        <w:ind w:firstLine="640" w:firstLineChars="200"/>
        <w:rPr>
          <w:rFonts w:eastAsia="仿宋_GB2312"/>
          <w:spacing w:val="-6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pacing w:val="-6"/>
          <w:sz w:val="32"/>
          <w:szCs w:val="32"/>
        </w:rPr>
        <w:t>参赛人员应爱护赛场所有设施，自觉维持赛场环境卫生，操作设备应谨慎，不得违章操作，如遇损坏、丢失等现象照价赔偿。</w:t>
      </w:r>
    </w:p>
    <w:p w14:paraId="2159855D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比赛过程中，参赛选手须严格遵守操作规程，确保人身及设备安全，并接受裁判员的监督和警示，出现设备故障等问题时，参赛选手应请裁判员对故障进行确认，对于因设备自身故障造成暂停和时间损失，该参赛选手的比赛时间酌情增补。</w:t>
      </w:r>
    </w:p>
    <w:p w14:paraId="081F6EF7">
      <w:pPr>
        <w:pStyle w:val="11"/>
        <w:overflowPunct w:val="0"/>
        <w:autoSpaceDE w:val="0"/>
        <w:autoSpaceDN w:val="0"/>
        <w:adjustRightInd w:val="0"/>
        <w:snapToGrid w:val="0"/>
        <w:spacing w:line="570" w:lineRule="exact"/>
        <w:ind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（三）裁判人员</w:t>
      </w:r>
    </w:p>
    <w:p w14:paraId="51866DCB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裁判人员在比赛前必须了解赛场情况、比赛规则及注意事项，不得泄露比赛的有关信息。</w:t>
      </w:r>
    </w:p>
    <w:p w14:paraId="5F14848A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赛前裁判人员要集中学习有关文件，明确责任和分工，熟悉和掌握比赛的具体要求，严格遵守竞赛规则，做到评判公正，一视同仁。</w:t>
      </w:r>
    </w:p>
    <w:p w14:paraId="1138F8D2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裁判人员应在工作前30分钟到达比赛场地，佩戴好执裁证，将手机处于关闭状态。裁判员应仪表整洁，语言举止文明礼貌，服从裁判长的领导，遵守评判职业道德，文明评判。</w:t>
      </w:r>
    </w:p>
    <w:p w14:paraId="093319D2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参赛选手进入考场时，裁判人员要认真检查参赛选手的证件，确保无差错，发现与证件不符者，裁判人员有权制止本参赛选手进入考场。</w:t>
      </w:r>
    </w:p>
    <w:p w14:paraId="637096C7">
      <w:pPr>
        <w:overflowPunct w:val="0"/>
        <w:autoSpaceDE w:val="0"/>
        <w:autoSpaceDN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裁判人员应严格遵守竞赛规则，认真执行竞赛项目的评分标准，以公平、公正、真实、一视同仁的原则，准确把握评分尺度，对在竞赛执裁过程中出现徇私舞弊的情况，一经查实，裁判长有权取消其执裁资格，并报竞赛组委会备案。</w:t>
      </w:r>
    </w:p>
    <w:p w14:paraId="39FA9E67">
      <w:pPr>
        <w:overflowPunct w:val="0"/>
        <w:autoSpaceDE w:val="0"/>
        <w:autoSpaceDN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裁判人员要严格执行比赛纪律，对选手的违规行为，进行严肃处理，并记录在案。对竞赛中出现的严重违纪和不安全行为应及时警告，必要时可以终止比赛。</w:t>
      </w:r>
    </w:p>
    <w:p w14:paraId="778342D1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裁判人员在工作时要尊重参赛选手，与参赛选手交流时应注意方式，避免影响参赛选手情绪。</w:t>
      </w:r>
    </w:p>
    <w:p w14:paraId="2BC3E60C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对于竞赛过程中出现的问题或争议，裁判人员不允许在选手面前进行争论，应及时向裁判长汇报，服从裁判长的裁决，避免与参赛选手和相关人员发生争执，否则取消评判资格。</w:t>
      </w:r>
    </w:p>
    <w:p w14:paraId="09910256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裁判人员要坚守岗位，不得擅自离开、闲聊，不得无故干扰选手竞赛，不得同参赛选手交谈与竞赛无关的话题、不得给予参赛选手任何竞赛规则范围内的提示，不得在执裁过程中接听任何电话。</w:t>
      </w:r>
    </w:p>
    <w:p w14:paraId="5F76A312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裁判人员要认真执行各项规章制度，对在整个竞赛过程中未公平、公正，弄虚作假或者隐瞒事实不报的，将根据情节轻重予以处理。</w:t>
      </w:r>
    </w:p>
    <w:p w14:paraId="3D976168">
      <w:pPr>
        <w:pStyle w:val="11"/>
        <w:overflowPunct w:val="0"/>
        <w:autoSpaceDE w:val="0"/>
        <w:autoSpaceDN w:val="0"/>
        <w:adjustRightInd w:val="0"/>
        <w:snapToGrid w:val="0"/>
        <w:spacing w:line="57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ascii="黑体" w:hAnsi="黑体" w:eastAsia="黑体"/>
          <w:sz w:val="32"/>
          <w:szCs w:val="32"/>
        </w:rPr>
        <w:t>、题库</w:t>
      </w:r>
    </w:p>
    <w:p w14:paraId="7C36C9A8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（一）理论考核题库</w:t>
      </w:r>
    </w:p>
    <w:p w14:paraId="3481620D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OLIIDN+FZXiaoBiaoSong-B05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GRPJ+FZHei-B01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YWFlNDRhMGYwZTliZmU5NmFhNDEzZjQ5MTA0MzIifQ=="/>
  </w:docVars>
  <w:rsids>
    <w:rsidRoot w:val="004E47FF"/>
    <w:rsid w:val="00444E83"/>
    <w:rsid w:val="004E47FF"/>
    <w:rsid w:val="007D4FFB"/>
    <w:rsid w:val="00CD4550"/>
    <w:rsid w:val="045F3D8F"/>
    <w:rsid w:val="328514C6"/>
    <w:rsid w:val="3E9B63D0"/>
    <w:rsid w:val="7FBC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其他"/>
    <w:basedOn w:val="1"/>
    <w:qFormat/>
    <w:uiPriority w:val="0"/>
    <w:pPr>
      <w:widowControl w:val="0"/>
      <w:shd w:val="clear" w:color="auto" w:fill="FFFFFF"/>
      <w:spacing w:line="567" w:lineRule="exact"/>
    </w:pPr>
    <w:rPr>
      <w:rFonts w:ascii="MingLiU" w:hAnsi="MingLiU" w:eastAsia="MingLiU" w:cs="MingLiU"/>
      <w:sz w:val="32"/>
      <w:szCs w:val="3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2245</Words>
  <Characters>2328</Characters>
  <Lines>18</Lines>
  <Paragraphs>5</Paragraphs>
  <TotalTime>5</TotalTime>
  <ScaleCrop>false</ScaleCrop>
  <LinksUpToDate>false</LinksUpToDate>
  <CharactersWithSpaces>2364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2025-05-12T02:42:00Z</dcterms:created>
  <dc:creator>未定义</dc:creator>
  <cp:lastModifiedBy>SZY</cp:lastModifiedBy>
  <dcterms:modified xsi:type="dcterms:W3CDTF">2025-07-10T01:52:31Z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BB106500A5C545EF912B1B984C2EF77F_12</vt:lpwstr>
  </property>
  <property fmtid="{D5CDD505-2E9C-101B-9397-08002B2CF9AE}" pid="4" name="KSOTemplateDocerSaveRecord">
    <vt:lpwstr>eyJoZGlkIjoiNDFhZDc4YTBkMmM0OTY3ODMyNzY4ZGVmOWQ4MmVmODIifQ==</vt:lpwstr>
  </property>
</Properties>
</file>