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12320405467300007L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江苏常州经济开发区投资服务中心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江苏常州经济开发区投资服务中心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协助做好招商引资工作，组织做好收集项目信息、开展招商活动、推进在谈项目、服务项目落地等投资服务工作。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樊力纲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江苏常州经济开发区科技和投资促进局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精准发力提质增效，项目招引量质齐升。2025年，招商引资完成“2158”年度任务完成率97%，引进项目97个，总投资超164亿元；已储备拟签约项目14个，总计完成年度目标任务的111%。项目结构显著优化，6个超10亿元重大项目、55个超亿元或超千万美元项目和36个超3000万元项目成功落地，形成优质项目集群。持续携手“走出去”与“请进来”，在成都、武汉、上海等重点城市开展拜访20余次，举办招商活动超15场，项目储备库持续充盈。招商队伍专业化建设同步推进，新聘人员、专题培训与制度文件三者并举，为招商工作注入持续动力。
对外开放稳中提质，合作格局纵深推进。利用外资克难求进，实际使用外资预计完成9050万美元，同比增长16.2%，其中利润再投、资本公积转增资等形式实现外资到账1136万美元；高技术产业实际使用外资同比增长43.5%；QFLP及WFOE外资基金项目到账同比增长39.1%。外贸基本盘保持稳定，预计全年实现进出口总额373亿元，总量位居全市第三。对外投资活跃度提升，预计全年完成对外投资项目备案28个，同比增长12%；中方协议投资额达1.8亿美元，同比增长6%；实际对外投资额约为1.8亿美元，同比增长12.5%，实际对外投资规模位居全市第二。积极成立经开区贸易战工作专班，帮助企业开拓国际市场，先后组织57家企业参展广交会、18家企业观展采购进博会、2家企业参加广州跨境电商交易会。加速提升服务效能，举办政策宣讲近10场，解决企业进口关税、商检等难题10余个，拨付商务资金近4500万元，有效助力企业降本增效。
2026年，将扎实推进项目招引方向更加精准化，渠道更加多元化。围绕重大产业、优质外资、园区项目招引目标，聚焦具身智能、化合物半导体、循环制造等前沿领域、“人工智能+”等新兴产业、高端装备、新材料等传统优势产业，重点对接500强企业、头部企业及知识密集型进出口企业等新经济增长点。拓宽项目信息渠道，深化产业链招商，密切关注本地领军企业产业链及上下游投资动态；强化平台招商，积极对接深圳科创飞地等信息资源合作平台；创新基金招商，重点关注合作资本和返投基金投融资项目；推进科技招商，整合高知资源促进科技成果转化；深化互联网招商，探索运用AI技术提升产业分析水平；针对国别招商，加速推进中法合作园区建设，重点聚焦法国投资项目，促进法资企业集聚效应形成。统筹开展央企对接、境内外推介等重点招商活动，提前谋划、精心组织，确保活动取得实效。力争2026年签约亿元项目80个；超10亿元或1亿美元项目10个，其中超50亿元或5亿美元项目2个，超100亿元或10亿美元项目1个。 
将扎实推进招商机制更加协同化，工作流程更加数字化。深化“招推服”一体化建设，加强跨部门、跨板块协同联动，严格落实项目与责任清单管理制度。坚决维护全国统一大市场，全面贯彻上级文件精神，精准落实政策红利，加快推进经开区项目全生命周期支持政策落地见效。着力强化系统应用，优化升级招商考核与项目管理平台，推动招商工作数字化、平台化、常态化管理，切实提升项目推进质效。
将扎实推进队伍建设更加专业化，理想信念更加坚定化。着力提升招商队伍专业化水平，定期组织开展涵盖产业政策、商务谈判及政策法规解读等专题的业务培训，邀请行业权威及资深招商专家授课，切实增强招商人员专业素养与履职能力。健全考核激励机制，对招商引资工作中成效显著、表现突出的个人予以表彰奖励，充分调动招商人员工作积极性。加强招商队伍团结协作，建立健全信息互通机制，依托经开区资源优势，推动重点产业链高质量发展。始终坚持正确意识形态导向，严守纪律规矩与外事纪律，持续深化党风廉政建设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2026.04.16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2026年03月30日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2026年03月30日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殷宇琪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15151946778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2026年03月30日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