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12320483MB0050841H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江苏常州经济开发区东方新城建设服务中心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江苏常州经济开发区东方新城建设服务中心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参与经开区中心城区整体规划的编制；负责东方新城建设投资管理、基础设施建设开发、土地开发、工程项目管理和服务等工作，提供咨询管理和全程跟踪服务，承担上级交办的其他工作。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常州市延陵东路508号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邹优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常州市武进区丁堰街道办事处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80813.27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101632.17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8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一、牢抓建设主责，完善东部城区主功能。倒排施工周期、坚持“挂图作战”，健全“日督查、周通报、月总结”机制，统筹推进东方新城项目建设，年度建设目标100%完成，负责的工程项目100%竣工。
1. 城区基础设施持续完善。东方二路、华丰路南延年初完成收尾并通车，剑横路、园东路分别于6月、10月竣工，提前为相关企业预留出入口；向阳路11月竣工，配套酒店同步投用，核心区路网不断优化。东部片区220kV东芳线、110kV芳亚线等杆线迁改拆除工作5月底完成，扫清地块开发障碍。
2. 品质提升工程有序推进。完成中央商务区指引标示、阻车石柱等更新安装，优化新城风貌；3月完成常青铸造及周边地块绿化整平与种植，提升文化旅游街区南侧景观；实施东方广场周边地块覆绿工程，保障城市绿轴完整性；剑横路两侧绿化提升项目正推进土地报批。
3. 商办载体建设协同发力。全力推进核心区商办楼建设，中天商办楼土建、幕墙完工，酒店及宴会厅装修有序推进，预计12月底具备运行条件；江南总部基地主楼八层、裙楼二层施工完成，稳步推进主体工程过半目标；密切跟进康佳数字经济总部项目，配合完善用地出让前期手续。
二、坚持统筹协调，开拓要素保障新途径。强化组织统筹，主动破解项目建设制约因素，扎实做好重点项目要素保障，为城区发展注入强劲动力。
1. 多渠道拓展资金来源。年内获批2笔共8600万元专项债资金，实现重点项目及结转工程资金全覆盖；对接财政部门落实项目补助资金，协同推进“两重两新”项目入库；针对宋剑湖生态新城启动资金，对接央企、政策银行，探索类EOD融资模式，获批专项贷款额度，同步争取中央预算内资金支持。
2. 统筹推进控规调整。牵头启动东方二路以南、漕上路以北片区控规调整并报市政府申请；联合遥观镇、资规分局，优化宋剑湖生态新城用地布局，推进控规调整，目前已进入最终审批流程。
3. 强化用地保障力度。联动属地板块及相关部门，推进园东路、向阳路等项目用地报批；联合相关单位加快体育公园选址落地；结合宋剑湖片区成片开发方案编制，提前推进方案初案编写及土地报批前期准备，拓展发展空间。
三、聚焦运营管理，塑造城市品质新高度。坚持问题导向与目标导向，通过完善考核、严抓安全、强化维管，推进城市精细化治理，全面提升城市品质。
1. 深化长效考核，协同精细治理。编制完成《常州经开区中心城区闲置地块梳理报告》，为城市建设提供支撑；专题研究文化活动中心社会化运营方案，提升运营效益；对接城管、建设等部门，督促施工单位整改日常检查问题，实现闭环管理。
2. 严抓安全施工，筑牢管理防线。部门领导牵头开展突击检查、巡查7次，全员下沉排查节假日安全隐患，协同开展安全检查31次，全年未发生质量安全事故；开出安全、质量、扬尘等整改单及罚单32份，均实现闭环管理。按季考核第三方服务单位，将考评结果与费用结算、合同履行挂钩，约谈落后单位并督促整改。
3. 强化缺陷管理，完善维管体系。定期巡检文化活动中心、地下智慧停车场等项目，督促整改设施设备运行问题；对道路、绿化项目实施奖惩监管，提升景观品质；顺利移交枫尚路南段、尚安路，推进东方三路、山水路、东方二路改扩建项目移交工作。
四、紧扣审计要求，提升内控管理新台阶。
1. 扎实做好审计整改。积极配合全省工程专项审计、经济责任审计，及时提供资料、应对问询，主动落实各项整改要求。
2. 完善内控制度。健全政府采购内控制度，严格落实提高价格分比重措施，坚持“同等质量、价格优先”原则，规范采购流程。
3. 规范资料归档。对接档案管理部门做好入库准备，梳理形成归档工作指南，明确职责规范；完成2023年前11个项目工程审计，推进财务决算审计及工程档案归集工作。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2026年03月23日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2026年03月23日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丁志刚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13585303686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2026年03月23日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